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1B" w:rsidRPr="00264F38" w:rsidRDefault="00264F38" w:rsidP="000B131B">
      <w:pPr>
        <w:pStyle w:val="Default"/>
        <w:jc w:val="center"/>
        <w:rPr>
          <w:b/>
          <w:bCs/>
        </w:rPr>
      </w:pPr>
      <w:bookmarkStart w:id="0" w:name="_Toc442549338"/>
      <w:bookmarkStart w:id="1" w:name="_Toc442549601"/>
      <w:proofErr w:type="spellStart"/>
      <w:r w:rsidRPr="00264F38">
        <w:rPr>
          <w:b/>
          <w:shd w:val="clear" w:color="auto" w:fill="FFFFFF"/>
        </w:rPr>
        <w:t>Анималотерапия</w:t>
      </w:r>
      <w:proofErr w:type="spellEnd"/>
      <w:r w:rsidRPr="00264F38">
        <w:rPr>
          <w:b/>
          <w:shd w:val="clear" w:color="auto" w:fill="FFFFFF"/>
        </w:rPr>
        <w:t xml:space="preserve"> для детей с ограниченными возможностями здоровья</w:t>
      </w:r>
    </w:p>
    <w:p w:rsidR="00513B07" w:rsidRDefault="00513B07" w:rsidP="000B13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3B07" w:rsidRDefault="000B131B" w:rsidP="00513B07">
      <w:pPr>
        <w:spacing w:after="0" w:line="240" w:lineRule="auto"/>
        <w:ind w:left="43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B07">
        <w:rPr>
          <w:rFonts w:ascii="Times New Roman" w:hAnsi="Times New Roman" w:cs="Times New Roman"/>
          <w:b/>
          <w:bCs/>
          <w:sz w:val="24"/>
          <w:szCs w:val="24"/>
        </w:rPr>
        <w:t>Климова В.К.</w:t>
      </w:r>
      <w:r w:rsidRPr="00513B07">
        <w:rPr>
          <w:rFonts w:ascii="Times New Roman" w:hAnsi="Times New Roman" w:cs="Times New Roman"/>
          <w:bCs/>
          <w:sz w:val="24"/>
          <w:szCs w:val="24"/>
        </w:rPr>
        <w:t>,</w:t>
      </w:r>
    </w:p>
    <w:p w:rsidR="000B131B" w:rsidRPr="00513B07" w:rsidRDefault="000B131B" w:rsidP="00513B07">
      <w:pPr>
        <w:spacing w:after="0" w:line="240" w:lineRule="auto"/>
        <w:ind w:left="4395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513B07">
        <w:rPr>
          <w:rFonts w:ascii="Times New Roman" w:hAnsi="Times New Roman" w:cs="Times New Roman"/>
          <w:bCs/>
          <w:sz w:val="24"/>
          <w:szCs w:val="24"/>
        </w:rPr>
        <w:t>к</w:t>
      </w:r>
      <w:r w:rsidRPr="00513B07">
        <w:rPr>
          <w:rFonts w:ascii="Times New Roman" w:hAnsi="Times New Roman" w:cs="Times New Roman"/>
          <w:bCs/>
          <w:i/>
          <w:sz w:val="24"/>
          <w:szCs w:val="24"/>
        </w:rPr>
        <w:t>.б.н.</w:t>
      </w:r>
      <w:r w:rsidRPr="00513B07">
        <w:rPr>
          <w:rFonts w:ascii="Times New Roman" w:hAnsi="Times New Roman" w:cs="Times New Roman"/>
          <w:i/>
          <w:sz w:val="24"/>
          <w:szCs w:val="24"/>
        </w:rPr>
        <w:t>, зав</w:t>
      </w:r>
      <w:proofErr w:type="gramStart"/>
      <w:r w:rsidRPr="00513B07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513B07">
        <w:rPr>
          <w:rFonts w:ascii="Times New Roman" w:hAnsi="Times New Roman" w:cs="Times New Roman"/>
          <w:i/>
          <w:sz w:val="24"/>
          <w:szCs w:val="24"/>
        </w:rPr>
        <w:t>афедрой медико-биологических основ физической культуры факультета физической культуры Педагогического института Национального исследовательского университета «НИУ </w:t>
      </w:r>
      <w:proofErr w:type="spellStart"/>
      <w:r w:rsidRPr="00513B07">
        <w:rPr>
          <w:rFonts w:ascii="Times New Roman" w:hAnsi="Times New Roman" w:cs="Times New Roman"/>
          <w:i/>
          <w:sz w:val="24"/>
          <w:szCs w:val="24"/>
        </w:rPr>
        <w:t>БелГУ</w:t>
      </w:r>
      <w:proofErr w:type="spellEnd"/>
      <w:r w:rsidRPr="00513B07">
        <w:rPr>
          <w:rFonts w:ascii="Times New Roman" w:hAnsi="Times New Roman" w:cs="Times New Roman"/>
          <w:i/>
          <w:sz w:val="24"/>
          <w:szCs w:val="24"/>
        </w:rPr>
        <w:t>»</w:t>
      </w:r>
      <w:r w:rsidR="00513B07">
        <w:rPr>
          <w:rFonts w:ascii="Times New Roman" w:hAnsi="Times New Roman" w:cs="Times New Roman"/>
          <w:i/>
          <w:sz w:val="24"/>
          <w:szCs w:val="24"/>
        </w:rPr>
        <w:t>, г. Белгород</w:t>
      </w:r>
    </w:p>
    <w:p w:rsidR="000B131B" w:rsidRPr="00513B07" w:rsidRDefault="000B131B" w:rsidP="00197E6C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bookmarkEnd w:id="1"/>
    <w:p w:rsidR="00197E6C" w:rsidRPr="00513B07" w:rsidRDefault="00197E6C" w:rsidP="00513B0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13B07">
        <w:rPr>
          <w:rFonts w:ascii="Times New Roman" w:hAnsi="Times New Roman" w:cs="Times New Roman"/>
          <w:b w:val="0"/>
          <w:sz w:val="24"/>
          <w:szCs w:val="24"/>
        </w:rPr>
        <w:t xml:space="preserve">Проблема здоровья россиян стала одной из основных проблем безопасности  страны [22]. Ухудшение экологической обстановки, неблагоприятные условия труда женщин, недостаточные возможности для ведения здорового образа жизни, высокий уровень заболеваемости родителей (особенно матерей) ведут к росту детской заболеваемости и инвалидности. Более половины детей имеют функциональные отклонения, требующие лечебно - коррекционных и реабилитационных мероприятий. Только 30 процентов новорожденных могут быть </w:t>
      </w:r>
      <w:proofErr w:type="gramStart"/>
      <w:r w:rsidRPr="00513B07">
        <w:rPr>
          <w:rFonts w:ascii="Times New Roman" w:hAnsi="Times New Roman" w:cs="Times New Roman"/>
          <w:b w:val="0"/>
          <w:sz w:val="24"/>
          <w:szCs w:val="24"/>
        </w:rPr>
        <w:t>признаны</w:t>
      </w:r>
      <w:proofErr w:type="gramEnd"/>
      <w:r w:rsidRPr="00513B07">
        <w:rPr>
          <w:rFonts w:ascii="Times New Roman" w:hAnsi="Times New Roman" w:cs="Times New Roman"/>
          <w:b w:val="0"/>
          <w:sz w:val="24"/>
          <w:szCs w:val="24"/>
        </w:rPr>
        <w:t xml:space="preserve"> здоровыми [24].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Одной из важных проблем современного общества является проблема инвалидности с учетом ее медицинского, социального, нравственного и экономического значения. Во всем мире наблюдается неуклонный рост числа детей-инвалидов, но в России рост детской инвалидности приобретает поистине общенациональный характер. Установлено, что структура инвалидности детей от 0 до 17 лет по нозологическим формам в течение длительного времени остается достаточно стабильной. Ведущие ранговые места в ней занимают болезни нервной системы, психические расстройства (более 70% — умственная отсталость) и врожденные аномалии развития. В Российской Федерации дети-инвалиды составляют, по разным оценкам, от 1,5-2,5 до 4,5% детского населения  </w:t>
      </w:r>
      <w:r w:rsidRPr="00513B07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[26].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bookmarkStart w:id="2" w:name="_Toc442549339"/>
      <w:r w:rsidRPr="00513B07">
        <w:rPr>
          <w:rFonts w:ascii="Times New Roman" w:hAnsi="Times New Roman" w:cs="Times New Roman"/>
          <w:sz w:val="24"/>
          <w:szCs w:val="24"/>
        </w:rPr>
        <w:t xml:space="preserve">По оценке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МЗиСР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РФ в ближайшие годы прогнозируется дальнейший рост этого показателя на фоне снижения численности населения, ухудшения характеристик его здоровья и неблагополучной социальной ситуации в большинстве российских семей. В структуре инвалидности с учетом возраста преобладают подростки. Во всех возрастных группах детей-инвалидов лидируют мальчики (58%), уровень инвалидности среди них выше, чем среди девочек в 1,2-1,7 раза </w:t>
      </w:r>
      <w:r w:rsidRPr="00513B07">
        <w:rPr>
          <w:rFonts w:ascii="Times New Roman" w:hAnsi="Times New Roman" w:cs="Times New Roman"/>
          <w:iCs/>
          <w:color w:val="333333"/>
          <w:sz w:val="24"/>
          <w:szCs w:val="24"/>
        </w:rPr>
        <w:t>[9]</w:t>
      </w:r>
      <w:r w:rsidRPr="00513B07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:rsidR="00197E6C" w:rsidRPr="00513B07" w:rsidRDefault="00197E6C" w:rsidP="00513B07">
      <w:pPr>
        <w:shd w:val="clear" w:color="auto" w:fill="FFFFFF"/>
        <w:tabs>
          <w:tab w:val="left" w:pos="1018"/>
          <w:tab w:val="left" w:pos="2885"/>
          <w:tab w:val="left" w:pos="434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t>В настоящее время роль лошади в жизни человека существенно изменилась и  приобрела  качественно иную ценность, став замечательным средством физического развития, развлечения и активного отдыха. В середине прошлого века во многих странах начался «конный бум», занятия иппотерапией, конным спортом и конным туризмом становятся весьма популярными.</w:t>
      </w:r>
    </w:p>
    <w:p w:rsidR="00197E6C" w:rsidRPr="00513B07" w:rsidRDefault="00197E6C" w:rsidP="00513B07">
      <w:pPr>
        <w:shd w:val="clear" w:color="auto" w:fill="FFFFFF"/>
        <w:tabs>
          <w:tab w:val="left" w:pos="1018"/>
          <w:tab w:val="left" w:pos="2885"/>
          <w:tab w:val="left" w:pos="43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Иппотерапия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- физиотерапевтическое лечение, использующее лошадь и верховую езду. Лечебная гимнастика на лошади (</w:t>
      </w:r>
      <w:r w:rsidRPr="00513B07">
        <w:rPr>
          <w:rFonts w:ascii="Times New Roman" w:hAnsi="Times New Roman" w:cs="Times New Roman"/>
          <w:sz w:val="24"/>
          <w:szCs w:val="24"/>
          <w:lang w:val="en-US"/>
        </w:rPr>
        <w:t>hippos</w:t>
      </w:r>
      <w:r w:rsidRPr="00513B07">
        <w:rPr>
          <w:rFonts w:ascii="Times New Roman" w:hAnsi="Times New Roman" w:cs="Times New Roman"/>
          <w:sz w:val="24"/>
          <w:szCs w:val="24"/>
        </w:rPr>
        <w:t xml:space="preserve">- по-гречески лошадь) – давно известная эффективная терапевтическая помощь для больных с различными заболеваниями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>[8,10,14 25,29</w:t>
      </w:r>
      <w:r w:rsidRPr="00513B07">
        <w:rPr>
          <w:rFonts w:ascii="Times New Roman" w:hAnsi="Times New Roman" w:cs="Times New Roman"/>
          <w:iCs/>
          <w:color w:val="333333"/>
          <w:sz w:val="24"/>
          <w:szCs w:val="24"/>
        </w:rPr>
        <w:t>].</w:t>
      </w:r>
      <w:r w:rsidRPr="00513B07">
        <w:rPr>
          <w:rFonts w:ascii="Times New Roman" w:hAnsi="Times New Roman" w:cs="Times New Roman"/>
          <w:sz w:val="24"/>
          <w:szCs w:val="24"/>
        </w:rPr>
        <w:t xml:space="preserve"> Иппотерапия отличается от других форм лечебной физ</w:t>
      </w:r>
      <w:r w:rsidRPr="00513B07">
        <w:rPr>
          <w:rFonts w:ascii="Times New Roman" w:hAnsi="Times New Roman" w:cs="Times New Roman"/>
          <w:sz w:val="24"/>
          <w:szCs w:val="24"/>
        </w:rPr>
        <w:softHyphen/>
        <w:t>культуры высокой эффективностью и уникальностью реаби</w:t>
      </w:r>
      <w:r w:rsidRPr="00513B07">
        <w:rPr>
          <w:rFonts w:ascii="Times New Roman" w:hAnsi="Times New Roman" w:cs="Times New Roman"/>
          <w:sz w:val="24"/>
          <w:szCs w:val="24"/>
        </w:rPr>
        <w:softHyphen/>
        <w:t>литационного влияния, являясь комплексным многофункциональным методом реабилитации. Под комплексностью воздействия иппотерапии следует понимать одновременное реабилитационное воздействие на физическое и психическое состояние здоровье клиентов</w:t>
      </w:r>
    </w:p>
    <w:p w:rsidR="00197E6C" w:rsidRPr="00513B07" w:rsidRDefault="00197E6C" w:rsidP="00513B07">
      <w:pPr>
        <w:shd w:val="clear" w:color="auto" w:fill="FFFFFF"/>
        <w:tabs>
          <w:tab w:val="left" w:pos="3570"/>
          <w:tab w:val="left" w:pos="66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Многие специалисты называют лошадь не иначе как «живым тренажером», позволяющим приводить в тонус сразу все мышцы всадника. При езде шагом мышцы всадника загружаются не меньше, чем у пешехода, идущего со скоростью </w:t>
      </w:r>
      <w:smartTag w:uri="urn:schemas-microsoft-com:office:smarttags" w:element="metricconverter">
        <w:smartTagPr>
          <w:attr w:name="ProductID" w:val="4,5 км"/>
        </w:smartTagPr>
        <w:r w:rsidRPr="00513B07">
          <w:rPr>
            <w:rFonts w:ascii="Times New Roman" w:hAnsi="Times New Roman" w:cs="Times New Roman"/>
            <w:color w:val="000000"/>
            <w:sz w:val="24"/>
            <w:szCs w:val="24"/>
          </w:rPr>
          <w:t>4,5 км</w:t>
        </w:r>
      </w:smartTag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в час, а на галопе - словно при беге [29]. </w:t>
      </w:r>
    </w:p>
    <w:p w:rsidR="00197E6C" w:rsidRPr="00513B07" w:rsidRDefault="00197E6C" w:rsidP="00513B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Взаимодействие с лошадью осуществляется через психогенный и биомеханический факторы. Как показали исследования, в верховой езде особенности воздействия физической нагрузки на организм заключаются в том, что физическая активность самого всадника сопровождается значительным статическим компонентом (поддержание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правильной посадки, равновесия) и вертикальными колебательными перемещениями тела, возникающими в ответ на ритмичные движения туловища лошади. Именно поэтому регуляция двигательной деятельности </w:t>
      </w:r>
      <w:r w:rsidRPr="00513B0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спортсмена-конника,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>обеспечивающаяся мышечно-суставной чувствительностью, функционированием вестибулярного аппарата и постоянным зрительным контролем, переходит на более высокий и совершенный уровень [3].</w:t>
      </w:r>
    </w:p>
    <w:p w:rsidR="00197E6C" w:rsidRPr="00513B07" w:rsidRDefault="00197E6C" w:rsidP="00513B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В физической реабилитации людей с отклонениями в состоянии здоровья все чаще применяется иппотерапия (лечебная верховая езда), причем эти занятия эффективны при различных  заболеваниях и нарушениях функций организма. </w:t>
      </w:r>
      <w:r w:rsidRPr="00513B07">
        <w:rPr>
          <w:rFonts w:ascii="Times New Roman" w:hAnsi="Times New Roman" w:cs="Times New Roman"/>
          <w:sz w:val="24"/>
          <w:szCs w:val="24"/>
        </w:rPr>
        <w:t>Трудно найти другие виды спорта (за исключением, быть может, плавания), которые настолько соответствовали бы потребностям инвалидов, как верховая езда [27]. Многие аспекты верховой езды используются как педагогическое средство. Иппотерапия (адаптивная верховая езда), во время которой пациент выполняет на лошади специальные упражнения, являе</w:t>
      </w:r>
      <w:r w:rsidRPr="00513B07">
        <w:rPr>
          <w:rFonts w:ascii="Times New Roman" w:hAnsi="Times New Roman" w:cs="Times New Roman"/>
          <w:bCs/>
          <w:sz w:val="24"/>
          <w:szCs w:val="24"/>
        </w:rPr>
        <w:t>тся</w:t>
      </w:r>
      <w:r w:rsidRPr="00513B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3B07">
        <w:rPr>
          <w:rFonts w:ascii="Times New Roman" w:hAnsi="Times New Roman" w:cs="Times New Roman"/>
          <w:sz w:val="24"/>
          <w:szCs w:val="24"/>
        </w:rPr>
        <w:t>методом активного воздействия и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стимулирует психофизическое развитие [16]. Таким образом, оздоровительный эффект занятий конным спортом заметен, но количественная и качественная его оценка затруднена.</w:t>
      </w:r>
    </w:p>
    <w:p w:rsidR="00197E6C" w:rsidRPr="00513B07" w:rsidRDefault="00197E6C" w:rsidP="00513B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Занятия иппотерапией для детей-инвалидов с диагнозом ДЦП (детский церебральный паралич) и с диагнозом сахарный диабет проводились в </w:t>
      </w:r>
      <w:proofErr w:type="spellStart"/>
      <w:proofErr w:type="gramStart"/>
      <w:r w:rsidRPr="00513B07">
        <w:rPr>
          <w:rFonts w:ascii="Times New Roman" w:hAnsi="Times New Roman" w:cs="Times New Roman"/>
          <w:sz w:val="24"/>
          <w:szCs w:val="24"/>
        </w:rPr>
        <w:t>конно-спортивной</w:t>
      </w:r>
      <w:proofErr w:type="spellEnd"/>
      <w:proofErr w:type="gramEnd"/>
      <w:r w:rsidRPr="00513B07">
        <w:rPr>
          <w:rFonts w:ascii="Times New Roman" w:hAnsi="Times New Roman" w:cs="Times New Roman"/>
          <w:sz w:val="24"/>
          <w:szCs w:val="24"/>
        </w:rPr>
        <w:t xml:space="preserve"> школе Белгородского национального исследовательского  университета два раза в неделю около двух месяцев (15-20 занятий). Продолжительность занятия составляла  от 20  минут в начале  курса  до 30 минут по его завершению. Курс  иппотерапии был разбит на адаптационный этап (1-2 занятия), основной этап (8-10 занятий) и заключительный этап (2-4 занятия), на каждом из которых решались определенные задачи. В ходе занятий дети  на движущейся шагом лошади выполняли в седле индивидуально подобранные комплексы физических упражнений.  </w:t>
      </w:r>
    </w:p>
    <w:p w:rsidR="00197E6C" w:rsidRPr="00513B07" w:rsidRDefault="00197E6C" w:rsidP="00513B0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" w:name="_Toc442549340"/>
      <w:bookmarkStart w:id="4" w:name="_Toc442549602"/>
      <w:r w:rsidRPr="00513B07">
        <w:rPr>
          <w:rFonts w:ascii="Times New Roman" w:hAnsi="Times New Roman" w:cs="Times New Roman"/>
          <w:b w:val="0"/>
          <w:sz w:val="24"/>
          <w:szCs w:val="24"/>
        </w:rPr>
        <w:t>ИППОТЕРАПИЯ ПРИ ДЕТСКОМ ЦЕРЕБРАЛЬНОМ ПАРАЛИЧЕ (ДЦП)</w:t>
      </w:r>
      <w:bookmarkEnd w:id="3"/>
      <w:bookmarkEnd w:id="4"/>
    </w:p>
    <w:p w:rsidR="00197E6C" w:rsidRPr="00513B07" w:rsidRDefault="00197E6C" w:rsidP="00513B07">
      <w:pPr>
        <w:pStyle w:val="3"/>
        <w:spacing w:before="0" w:line="240" w:lineRule="auto"/>
        <w:ind w:firstLine="709"/>
        <w:jc w:val="both"/>
        <w:rPr>
          <w:rFonts w:cs="Times New Roman"/>
          <w:b w:val="0"/>
          <w:sz w:val="24"/>
          <w:szCs w:val="24"/>
        </w:rPr>
      </w:pPr>
      <w:bookmarkStart w:id="5" w:name="_Toc442549341"/>
      <w:bookmarkStart w:id="6" w:name="_Toc442549603"/>
      <w:r w:rsidRPr="00513B07">
        <w:rPr>
          <w:rFonts w:cs="Times New Roman"/>
          <w:b w:val="0"/>
          <w:sz w:val="24"/>
          <w:szCs w:val="24"/>
        </w:rPr>
        <w:t>Оценка этапов физического развития</w:t>
      </w:r>
      <w:bookmarkEnd w:id="5"/>
      <w:bookmarkEnd w:id="6"/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ДЦП - совокупность синдромов, являющихся следствием повреждений головного мозга, возникающих в 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>перинатальном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 xml:space="preserve"> и раннем постнатальным периодах. Характерной особенностью ДЦП является нарушение моторного развития ребенка, обусловленное аномальным распределением мышечного тонуса и нарушением координации движений. Двигательные расстройства часто сопровождаются парезам и параличами, а также задержкой речевого и психического развития. В настоящее время ведется активный поиск эффективных программ укрепления здоровья детей с ДЦП, влияющих положительно на двигательное и психическое развитие, восстановления их работоспособности и повышение возможности  адаптироваться к жизни в социуме.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[13] </w:t>
      </w:r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При работе с детьми с ДЦП возникает определенная трудность при оценке эффективности реабилитационных мероприятий. В данном исследовании принимали участие более 20 детей в возрасте 7</w:t>
      </w:r>
      <w:r w:rsidRPr="00513B07">
        <w:rPr>
          <w:rFonts w:ascii="Times New Roman" w:hAnsi="Times New Roman" w:cs="Times New Roman"/>
          <w:color w:val="C00000"/>
          <w:sz w:val="24"/>
          <w:szCs w:val="24"/>
        </w:rPr>
        <w:t>-13</w:t>
      </w:r>
      <w:r w:rsidRPr="00513B07">
        <w:rPr>
          <w:rFonts w:ascii="Times New Roman" w:hAnsi="Times New Roman" w:cs="Times New Roman"/>
          <w:sz w:val="24"/>
          <w:szCs w:val="24"/>
        </w:rPr>
        <w:t xml:space="preserve"> лет с диагнозом ДЦП. При анализе этапов физического развития оценивалась возможность выполнения двигательных действий детьми с разной степенью выраженности поражений.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Тестирование уровня физического развития проводилось с использованием таблицы оценки этапов физического развития (в баллах), разработанной Т.В.Кожевниковой 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[19] </w:t>
      </w:r>
      <w:r w:rsidRPr="00513B07">
        <w:rPr>
          <w:rFonts w:ascii="Times New Roman" w:hAnsi="Times New Roman" w:cs="Times New Roman"/>
          <w:sz w:val="24"/>
          <w:szCs w:val="24"/>
        </w:rPr>
        <w:t xml:space="preserve"> Чем ниже оценка по шкале, тем ниже уровень развития двигательных систем. Физическое состояние оценивалось по 9 позициям  с использованием пятибалльной системы: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3B07">
        <w:rPr>
          <w:rFonts w:ascii="Times New Roman" w:hAnsi="Times New Roman" w:cs="Times New Roman"/>
          <w:sz w:val="24"/>
          <w:szCs w:val="24"/>
        </w:rPr>
        <w:t xml:space="preserve">1. стабилизация положения головы; 2.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торзии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; 3. развитие свободного сидения а) лежа на спине; б) сидя на стуле или кушетке;4. а) вставание на четвереньки; б)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трехопорное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двухопорное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стояние; 5. передвижение на четвереньках; 6. а) стойка на колеях; б) ходьба на коленях; в) вынос ноги вперед, переход в вертикальное положение;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 xml:space="preserve"> 7. вертикальная стойка; 8. ходьба;  9. функции верхних конечностей. Выполнение </w:t>
      </w:r>
      <w:r w:rsidRPr="00513B07">
        <w:rPr>
          <w:rFonts w:ascii="Times New Roman" w:hAnsi="Times New Roman" w:cs="Times New Roman"/>
          <w:sz w:val="24"/>
          <w:szCs w:val="24"/>
        </w:rPr>
        <w:lastRenderedPageBreak/>
        <w:t>предложенных тестов с полной амплитудой, уверенно и правильно оценивалось высшим баллом «5».  Результаты исследования приведены в таблице 1.</w:t>
      </w:r>
    </w:p>
    <w:p w:rsidR="00197E6C" w:rsidRPr="00513B07" w:rsidRDefault="00513B07" w:rsidP="00513B0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97E6C" w:rsidRPr="00513B07">
        <w:rPr>
          <w:rFonts w:ascii="Times New Roman" w:hAnsi="Times New Roman" w:cs="Times New Roman"/>
          <w:sz w:val="24"/>
          <w:szCs w:val="24"/>
        </w:rPr>
        <w:t>Таблица 1</w:t>
      </w:r>
    </w:p>
    <w:p w:rsidR="00197E6C" w:rsidRPr="00513B07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Оценка физического состояния детей с диагнозом ДЦП до и после курса занятий иппотерапией (в баллах)</w:t>
      </w:r>
    </w:p>
    <w:tbl>
      <w:tblPr>
        <w:tblStyle w:val="a3"/>
        <w:tblW w:w="0" w:type="auto"/>
        <w:tblLayout w:type="fixed"/>
        <w:tblLook w:val="01E0"/>
      </w:tblPr>
      <w:tblGrid>
        <w:gridCol w:w="1356"/>
        <w:gridCol w:w="915"/>
        <w:gridCol w:w="540"/>
        <w:gridCol w:w="540"/>
        <w:gridCol w:w="540"/>
        <w:gridCol w:w="570"/>
        <w:gridCol w:w="570"/>
        <w:gridCol w:w="657"/>
        <w:gridCol w:w="540"/>
        <w:gridCol w:w="540"/>
        <w:gridCol w:w="720"/>
        <w:gridCol w:w="572"/>
        <w:gridCol w:w="1408"/>
      </w:tblGrid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</w:p>
        </w:tc>
        <w:tc>
          <w:tcPr>
            <w:tcW w:w="915" w:type="dxa"/>
            <w:vMerge w:val="restart"/>
          </w:tcPr>
          <w:p w:rsidR="00197E6C" w:rsidRPr="00513B07" w:rsidRDefault="00197E6C" w:rsidP="00513B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9" w:type="dxa"/>
            <w:gridSpan w:val="10"/>
          </w:tcPr>
          <w:p w:rsidR="00197E6C" w:rsidRPr="00513B07" w:rsidRDefault="00197E6C" w:rsidP="00513B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ВСАДНИКИ (порядковый номер)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прирост в баллах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</w:tcPr>
          <w:p w:rsidR="00197E6C" w:rsidRPr="00513B07" w:rsidRDefault="00197E6C" w:rsidP="00513B0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9C54FD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42 </w:t>
            </w:r>
            <w:r w:rsidR="00197E6C"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(+1)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9C54FD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97E6C"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(+4)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35 (+4)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9C54FD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197E6C"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(+6)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36 (+3)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35 (+4)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37 (+4)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37 (+4)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37 (+2)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27 (+6)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35 (+3)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36 (+3)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39 (+3)</w:t>
            </w:r>
          </w:p>
        </w:tc>
      </w:tr>
      <w:tr w:rsidR="00197E6C" w:rsidRPr="00513B07" w:rsidTr="000B131B">
        <w:tc>
          <w:tcPr>
            <w:tcW w:w="1356" w:type="dxa"/>
            <w:vMerge w:val="restart"/>
          </w:tcPr>
          <w:p w:rsidR="00197E6C" w:rsidRPr="00513B07" w:rsidRDefault="00197E6C" w:rsidP="00513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915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197E6C" w:rsidRPr="00513B07" w:rsidTr="000B131B">
        <w:tc>
          <w:tcPr>
            <w:tcW w:w="1356" w:type="dxa"/>
            <w:vMerge/>
          </w:tcPr>
          <w:p w:rsidR="00197E6C" w:rsidRPr="00513B07" w:rsidRDefault="00197E6C" w:rsidP="00513B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5" w:type="dxa"/>
          </w:tcPr>
          <w:p w:rsidR="00197E6C" w:rsidRPr="00513B07" w:rsidRDefault="00197E6C" w:rsidP="00513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  <w:tc>
          <w:tcPr>
            <w:tcW w:w="540" w:type="dxa"/>
          </w:tcPr>
          <w:p w:rsidR="00197E6C" w:rsidRPr="00513B07" w:rsidRDefault="00197E6C" w:rsidP="00513B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47 (+7)</w:t>
            </w:r>
          </w:p>
        </w:tc>
      </w:tr>
      <w:tr w:rsidR="00197E6C" w:rsidRPr="00513B07" w:rsidTr="000B131B">
        <w:trPr>
          <w:trHeight w:val="640"/>
        </w:trPr>
        <w:tc>
          <w:tcPr>
            <w:tcW w:w="2271" w:type="dxa"/>
            <w:gridSpan w:val="2"/>
          </w:tcPr>
          <w:p w:rsidR="00197E6C" w:rsidRPr="00513B07" w:rsidRDefault="00197E6C" w:rsidP="00513B0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Итог (прирост в баллах)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+6</w:t>
            </w:r>
          </w:p>
        </w:tc>
        <w:tc>
          <w:tcPr>
            <w:tcW w:w="540" w:type="dxa"/>
          </w:tcPr>
          <w:p w:rsidR="00197E6C" w:rsidRPr="00513B07" w:rsidRDefault="009C54FD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="00197E6C"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</w:t>
            </w: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+4</w:t>
            </w:r>
          </w:p>
        </w:tc>
        <w:tc>
          <w:tcPr>
            <w:tcW w:w="57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+4</w:t>
            </w:r>
          </w:p>
        </w:tc>
        <w:tc>
          <w:tcPr>
            <w:tcW w:w="657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+1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+2</w:t>
            </w:r>
          </w:p>
        </w:tc>
        <w:tc>
          <w:tcPr>
            <w:tcW w:w="54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+2</w:t>
            </w:r>
          </w:p>
        </w:tc>
        <w:tc>
          <w:tcPr>
            <w:tcW w:w="720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+11</w:t>
            </w:r>
          </w:p>
        </w:tc>
        <w:tc>
          <w:tcPr>
            <w:tcW w:w="572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b/>
                <w:sz w:val="24"/>
                <w:szCs w:val="24"/>
              </w:rPr>
              <w:t>+7</w:t>
            </w:r>
          </w:p>
        </w:tc>
        <w:tc>
          <w:tcPr>
            <w:tcW w:w="1408" w:type="dxa"/>
          </w:tcPr>
          <w:p w:rsidR="00197E6C" w:rsidRPr="00513B07" w:rsidRDefault="00197E6C" w:rsidP="009C5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97E6C" w:rsidRPr="00513B07" w:rsidRDefault="00197E6C" w:rsidP="00513B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Как следует из  данных, приведенных в таблице 1, самые минимальные изменения наблюдались у всех участников по первой позиции - стабилизация положения головы (прирост +1 балл). 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 xml:space="preserve">Самые максимальные - по позиции 3б - развитие свободного сидения, сидя на стуле или кушетке (+6 баллов) и по позициям 4б, 5, связанными с положением на четвереньках (+4 балла), стойка на колеях 6а (+4 балла),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торсии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(+4 балла).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 xml:space="preserve"> Вероятно, это связано  с тем, что именно контакт с лошадью, массирующее и разогревающее действие мышц движущейся лошади на нижние конечности всадников позволяет им расширить диапазон движений и улучшить функции опорно-двигательного аппарата. Общее количество баллов для всех участников эксперимента в начале занятий составило 426 баллов, по окончании эксперимента- 473 балла (общий прирост - 47 баллов). Учитывая тяжесть патологии, следует отметить достаточно высокую результативность  применения  иппотерапии.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lastRenderedPageBreak/>
        <w:t>В начале и по окончанию занятий иппотерапией проведены измерения суставных углов нижних конечностей правой и левой стороны тела занимающихся.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[17] </w:t>
      </w:r>
      <w:r w:rsidRPr="00513B07">
        <w:rPr>
          <w:rFonts w:ascii="Times New Roman" w:hAnsi="Times New Roman" w:cs="Times New Roman"/>
          <w:sz w:val="24"/>
          <w:szCs w:val="24"/>
        </w:rPr>
        <w:t>Значение исследуемых суставных углов у каждого всадника в начале эксперимента принято за 100 процентов. Полученные изменения в конце эксперимента для всех испытуемых с диагнозом ДЦП взяты как средняя величина для  определенного  типа сустава и приведены в таблице 2.</w:t>
      </w:r>
    </w:p>
    <w:p w:rsidR="00197E6C" w:rsidRPr="00513B07" w:rsidRDefault="00197E6C" w:rsidP="009C54FD">
      <w:pPr>
        <w:spacing w:after="0" w:line="240" w:lineRule="auto"/>
        <w:ind w:left="7787" w:firstLine="1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Таблица 2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bCs/>
          <w:sz w:val="24"/>
          <w:szCs w:val="24"/>
        </w:rPr>
        <w:t>Изменение подвижности в суставах при занятиях иппотерапией  детей с диагнозом ДЦП</w:t>
      </w:r>
      <w:r w:rsidRPr="00513B07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5407" w:type="pct"/>
        <w:tblLook w:val="0000"/>
      </w:tblPr>
      <w:tblGrid>
        <w:gridCol w:w="2558"/>
        <w:gridCol w:w="3812"/>
        <w:gridCol w:w="3093"/>
        <w:gridCol w:w="226"/>
        <w:gridCol w:w="46"/>
        <w:gridCol w:w="615"/>
      </w:tblGrid>
      <w:tr w:rsidR="00197E6C" w:rsidRPr="00513B07" w:rsidTr="009C54FD">
        <w:trPr>
          <w:gridAfter w:val="1"/>
          <w:wAfter w:w="297" w:type="pct"/>
          <w:trHeight w:val="922"/>
        </w:trPr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Сустав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149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97E6C" w:rsidRPr="00513B07" w:rsidRDefault="00197E6C" w:rsidP="009C54FD">
            <w:pPr>
              <w:tabs>
                <w:tab w:val="left" w:pos="2194"/>
              </w:tabs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Прирост от исходного значения</w:t>
            </w:r>
            <w:proofErr w:type="gram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131" w:type="pct"/>
            <w:gridSpan w:val="2"/>
            <w:tcBorders>
              <w:top w:val="nil"/>
              <w:left w:val="single" w:sz="2" w:space="0" w:color="000000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E6C" w:rsidRPr="00513B07" w:rsidRDefault="00197E6C" w:rsidP="00513B0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3"/>
          <w:wAfter w:w="428" w:type="pct"/>
          <w:cantSplit/>
          <w:trHeight w:val="349"/>
        </w:trPr>
        <w:tc>
          <w:tcPr>
            <w:tcW w:w="1236" w:type="pct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Тазобедренный   правый</w:t>
            </w: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97E6C" w:rsidRPr="00513B07" w:rsidTr="009C54FD">
        <w:trPr>
          <w:gridAfter w:val="1"/>
          <w:wAfter w:w="297" w:type="pct"/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Отведение-приведение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" w:type="pct"/>
            <w:gridSpan w:val="2"/>
            <w:tcBorders>
              <w:top w:val="nil"/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1"/>
          <w:wAfter w:w="297" w:type="pct"/>
          <w:cantSplit/>
          <w:trHeight w:val="342"/>
        </w:trPr>
        <w:tc>
          <w:tcPr>
            <w:tcW w:w="1236" w:type="pct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Ротация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" w:type="pct"/>
            <w:gridSpan w:val="2"/>
            <w:tcBorders>
              <w:top w:val="nil"/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Тазобедренный левый</w:t>
            </w: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97E6C" w:rsidRPr="00513B07" w:rsidTr="009C54FD">
        <w:trPr>
          <w:gridAfter w:val="1"/>
          <w:wAfter w:w="297" w:type="pct"/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Отведение-приведение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" w:type="pct"/>
            <w:gridSpan w:val="2"/>
            <w:vMerge w:val="restart"/>
            <w:tcBorders>
              <w:top w:val="nil"/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1"/>
          <w:wAfter w:w="297" w:type="pct"/>
          <w:cantSplit/>
          <w:trHeight w:val="268"/>
        </w:trPr>
        <w:tc>
          <w:tcPr>
            <w:tcW w:w="1236" w:type="pct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Ротация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" w:type="pct"/>
            <w:gridSpan w:val="2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1"/>
          <w:wAfter w:w="297" w:type="pct"/>
          <w:trHeight w:val="397"/>
        </w:trPr>
        <w:tc>
          <w:tcPr>
            <w:tcW w:w="123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Коленный правый</w:t>
            </w: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Сгибание-разгибание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" w:type="pct"/>
            <w:gridSpan w:val="2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1"/>
          <w:wAfter w:w="297" w:type="pct"/>
          <w:trHeight w:val="417"/>
        </w:trPr>
        <w:tc>
          <w:tcPr>
            <w:tcW w:w="123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Коленный левый</w:t>
            </w: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Сгибание-разгибание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" w:type="pct"/>
            <w:gridSpan w:val="2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cantSplit/>
          <w:trHeight w:hRule="exact" w:val="332"/>
        </w:trPr>
        <w:tc>
          <w:tcPr>
            <w:tcW w:w="123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Голеностопный правый</w:t>
            </w:r>
          </w:p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" w:type="pct"/>
            <w:vMerge w:val="restart"/>
            <w:tcBorders>
              <w:top w:val="nil"/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vMerge w:val="restart"/>
            <w:tcBorders>
              <w:top w:val="nil"/>
              <w:left w:val="nil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cantSplit/>
          <w:trHeight w:hRule="exact" w:val="332"/>
        </w:trPr>
        <w:tc>
          <w:tcPr>
            <w:tcW w:w="1236" w:type="pct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" w:type="pct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vMerge/>
          </w:tcPr>
          <w:p w:rsidR="00197E6C" w:rsidRPr="00513B07" w:rsidRDefault="00197E6C" w:rsidP="00513B0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Отведение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" w:type="pct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vMerge/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cantSplit/>
          <w:trHeight w:val="243"/>
        </w:trPr>
        <w:tc>
          <w:tcPr>
            <w:tcW w:w="1236" w:type="pct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Приведение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" w:type="pct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vMerge/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2"/>
          <w:wAfter w:w="319" w:type="pct"/>
          <w:cantSplit/>
          <w:trHeight w:hRule="exact" w:val="332"/>
        </w:trPr>
        <w:tc>
          <w:tcPr>
            <w:tcW w:w="1236" w:type="pct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Голеностопный левый</w:t>
            </w:r>
          </w:p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" w:type="pct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2"/>
          <w:wAfter w:w="319" w:type="pct"/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" w:type="pct"/>
            <w:vMerge/>
            <w:tcBorders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1"/>
          <w:wAfter w:w="297" w:type="pct"/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Отведение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" w:type="pct"/>
            <w:gridSpan w:val="2"/>
            <w:tcBorders>
              <w:top w:val="nil"/>
              <w:left w:val="single" w:sz="4" w:space="0" w:color="auto"/>
            </w:tcBorders>
          </w:tcPr>
          <w:p w:rsidR="00197E6C" w:rsidRPr="00513B07" w:rsidRDefault="00197E6C" w:rsidP="00513B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Приведение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Локтевой правый</w:t>
            </w: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Локтевой левый</w:t>
            </w: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E6C" w:rsidRPr="00513B07" w:rsidTr="009C54FD">
        <w:trPr>
          <w:gridAfter w:val="3"/>
          <w:wAfter w:w="428" w:type="pct"/>
          <w:cantSplit/>
          <w:trHeight w:hRule="exact" w:val="332"/>
        </w:trPr>
        <w:tc>
          <w:tcPr>
            <w:tcW w:w="123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9C54F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7E6C" w:rsidRPr="00513B07" w:rsidRDefault="00197E6C" w:rsidP="000A596B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Разгибание</w:t>
            </w:r>
          </w:p>
        </w:tc>
        <w:tc>
          <w:tcPr>
            <w:tcW w:w="1494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Обозначения:   ⃰  -  достоверные различия по Т-критерию Уайта.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Установлено, что величины суставных углов верхних конечностей (правый и левый локтевой) практические не изменились, что можно объяснить  недостаточностью воздействий иппотерапевтических факторов на верхний плечевой пояс. Изменения  величины углов нижних конечностей более выражены и в некоторых случаях достигали 10-15 градусов (тазобедренные суставы), что хорошо объясняется влиянием биомеханического фактора, действующего при движении лошади (массаж внутренней поверхности бедра) в совокупности с температурным фактором (температура тела лошади на 1,5-2 градуса выше температуры  тела человека).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При использовании непараметрического метода Уайта при определении достоверности различия результатов, установлено, что для нижних конечностей имеются статистически достоверные различия (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>&lt;0,05) в величине сгибания и разгибания тазобедренных  и коленных суставов до и после проведения курса иппотерапии.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lastRenderedPageBreak/>
        <w:t xml:space="preserve">Анализируя полученные данные, можно предположить, что в результате занятий иппотерапией произошло перераспределение  мышечного тонуса,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уменьшение </w:t>
      </w:r>
      <w:proofErr w:type="spellStart"/>
      <w:r w:rsidRPr="00513B07">
        <w:rPr>
          <w:rFonts w:ascii="Times New Roman" w:hAnsi="Times New Roman" w:cs="Times New Roman"/>
          <w:color w:val="000000"/>
          <w:sz w:val="24"/>
          <w:szCs w:val="24"/>
        </w:rPr>
        <w:t>спастичности</w:t>
      </w:r>
      <w:proofErr w:type="spellEnd"/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мышц, снижение тонуса мышц-сгибателей, </w:t>
      </w:r>
      <w:r w:rsidRPr="00513B07">
        <w:rPr>
          <w:rFonts w:ascii="Times New Roman" w:hAnsi="Times New Roman" w:cs="Times New Roman"/>
          <w:sz w:val="24"/>
          <w:szCs w:val="24"/>
        </w:rPr>
        <w:t xml:space="preserve">что привело к  увеличению подвижности суставов и расширению объема движений. Полученные изменения в некоторых случаях сохранялись в течение нескольких месяцев. Повышение амплитуды движений в суставах давало возможность детям более активно развивать двигательные навыки, расширяло диапазон возможных действий при самообслуживании и позволяло более активно интегрироваться в социуме.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Увеличение подвижности суставов нижних конечностей не наблюдалось у детей с диагнозом сахарный диабет и у здоровых детей при проведении такого же количества занятий иппотерапией.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При езде на лошади всадник вынужден подчиняться ритму ее движений. В 1970 г. профессор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Д.М.Цверава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>[28]</w:t>
      </w:r>
      <w:r w:rsidRPr="00513B07">
        <w:rPr>
          <w:rFonts w:ascii="Times New Roman" w:hAnsi="Times New Roman" w:cs="Times New Roman"/>
          <w:sz w:val="24"/>
          <w:szCs w:val="24"/>
        </w:rPr>
        <w:t xml:space="preserve"> установил взаимозависимость сердцебиений  в единой биосистеме «всадник-лошадь» во время верховой езды: «...Всадник влияет на лошадь и наоборот, они влияют друг на друга, представляя собой единое целое...». Эмоциональное состояние влияет на ритм сердечных сокращений, поэтому езда шагом успокаивает, а езда быстрым аллюром тонизирует всадника. Профессор 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Д.М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>,Ц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>верава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продемонстрировал эту взаимосвязь, с помощью одновременных телеметрических исследований частоты сердечных сокращений у всадника и лошади и назвал это феноменом «Кентавра». На рис.1 представлены данные частоты сердечных сокращений (ЧСС) детей с ДЦП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291465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   Рис 1. Изменение частоты сердечных сокращений (ЧСС) в ходе занятий иппотерапией у детей с ДЦП.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 В нашем исследовании  частота сердечных сокращений определялась у всадников в начале и в конце занятия на протяжении всего курса (рис.1). Если в начале курса значения ЧСС у детей с ДЦП в начале занятия были примерно на 20 ударов меньше, чем в конце занятия, то к концу курса разница составляла около 40 ударов. Можно предположить, что эмоциональная составляющая на факторы, связанные с лошадью, у детей с данной патологией была небольшая. Следовательно, действие адекватной  для  ребенка-инвалида физической нагрузки при удержании равновесия на движущей лошади, вызывая двигательную реакцию, приводит к увеличению  частоты сердцебиений.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B07">
        <w:rPr>
          <w:rFonts w:ascii="Times New Roman" w:hAnsi="Times New Roman" w:cs="Times New Roman"/>
          <w:bCs/>
          <w:sz w:val="24"/>
          <w:szCs w:val="24"/>
        </w:rPr>
        <w:t>Программно-аппаратный комплекс «</w:t>
      </w:r>
      <w:proofErr w:type="spellStart"/>
      <w:r w:rsidRPr="00513B07">
        <w:rPr>
          <w:rFonts w:ascii="Times New Roman" w:hAnsi="Times New Roman" w:cs="Times New Roman"/>
          <w:bCs/>
          <w:sz w:val="24"/>
          <w:szCs w:val="24"/>
        </w:rPr>
        <w:t>ГРВ-Камера</w:t>
      </w:r>
      <w:proofErr w:type="spellEnd"/>
      <w:r w:rsidRPr="00513B07">
        <w:rPr>
          <w:rFonts w:ascii="Times New Roman" w:hAnsi="Times New Roman" w:cs="Times New Roman"/>
          <w:bCs/>
          <w:sz w:val="24"/>
          <w:szCs w:val="24"/>
        </w:rPr>
        <w:t>», разработанный группой ученых под руководством профессора К. Г. Короткова</w:t>
      </w:r>
      <w:r w:rsidRPr="00513B07">
        <w:rPr>
          <w:rFonts w:ascii="Times New Roman" w:hAnsi="Times New Roman" w:cs="Times New Roman"/>
          <w:sz w:val="24"/>
          <w:szCs w:val="24"/>
        </w:rPr>
        <w:t xml:space="preserve"> [20,21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>],</w:t>
      </w:r>
      <w:r w:rsidRPr="00513B07">
        <w:rPr>
          <w:rFonts w:ascii="Times New Roman" w:hAnsi="Times New Roman" w:cs="Times New Roman"/>
          <w:bCs/>
          <w:sz w:val="24"/>
          <w:szCs w:val="24"/>
        </w:rPr>
        <w:t xml:space="preserve"> прошел клинические испытания, внесен в государственный реестр медицинской техники Министерства Здравоохранения РФ и имеет международный сертификат ЕС.)</w:t>
      </w:r>
    </w:p>
    <w:p w:rsidR="00197E6C" w:rsidRPr="00513B07" w:rsidRDefault="00197E6C" w:rsidP="00513B07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513B07">
        <w:rPr>
          <w:color w:val="000000"/>
        </w:rPr>
        <w:t xml:space="preserve">В настоящее время вырос интерес к разработке и применению методов </w:t>
      </w:r>
      <w:proofErr w:type="spellStart"/>
      <w:proofErr w:type="gramStart"/>
      <w:r w:rsidRPr="00513B07">
        <w:rPr>
          <w:color w:val="000000"/>
        </w:rPr>
        <w:t>экспресс-диагностики</w:t>
      </w:r>
      <w:proofErr w:type="spellEnd"/>
      <w:proofErr w:type="gramEnd"/>
      <w:r w:rsidRPr="00513B07">
        <w:rPr>
          <w:color w:val="000000"/>
        </w:rPr>
        <w:t xml:space="preserve"> физического состояния здоровья человека на основе анализа изображений, </w:t>
      </w:r>
      <w:r w:rsidRPr="00513B07">
        <w:rPr>
          <w:color w:val="000000"/>
        </w:rPr>
        <w:lastRenderedPageBreak/>
        <w:t xml:space="preserve">полученных с помощью высокочастотного фотографирования  или метода газоразрядной визуализации (ГРВ). Метод ГРВ (регистрация стимулированной электронной эмиссии с усилением в газовом разряде) дает возможность обобщения и придания некоторым феноменам получаемого оптического изображения самостоятельной диагностической ценности [6].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Параметры </w:t>
      </w:r>
      <w:proofErr w:type="spellStart"/>
      <w:r w:rsidRPr="00513B07">
        <w:rPr>
          <w:rFonts w:ascii="Times New Roman" w:hAnsi="Times New Roman" w:cs="Times New Roman"/>
          <w:color w:val="000000"/>
          <w:sz w:val="24"/>
          <w:szCs w:val="24"/>
        </w:rPr>
        <w:t>ГРВ-грамм</w:t>
      </w:r>
      <w:proofErr w:type="spellEnd"/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, отражающие особенности </w:t>
      </w:r>
      <w:proofErr w:type="spellStart"/>
      <w:r w:rsidRPr="00513B07">
        <w:rPr>
          <w:rFonts w:ascii="Times New Roman" w:hAnsi="Times New Roman" w:cs="Times New Roman"/>
          <w:color w:val="000000"/>
          <w:sz w:val="24"/>
          <w:szCs w:val="24"/>
        </w:rPr>
        <w:t>энергоэмиссионных</w:t>
      </w:r>
      <w:proofErr w:type="spellEnd"/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процессов, обнаруживают также статистически достоверную связь с </w:t>
      </w:r>
      <w:proofErr w:type="spellStart"/>
      <w:r w:rsidRPr="00513B07">
        <w:rPr>
          <w:rFonts w:ascii="Times New Roman" w:hAnsi="Times New Roman" w:cs="Times New Roman"/>
          <w:color w:val="000000"/>
          <w:sz w:val="24"/>
          <w:szCs w:val="24"/>
        </w:rPr>
        <w:t>психоэмоциональным</w:t>
      </w:r>
      <w:proofErr w:type="spellEnd"/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состоянием человека и функционированием его вегетативной нервной системы. Благодаря использованию </w:t>
      </w:r>
      <w:r w:rsidRPr="00513B07">
        <w:rPr>
          <w:rStyle w:val="ab"/>
          <w:rFonts w:ascii="Times New Roman" w:hAnsi="Times New Roman" w:cs="Times New Roman"/>
          <w:color w:val="000000"/>
          <w:sz w:val="24"/>
          <w:szCs w:val="24"/>
        </w:rPr>
        <w:t xml:space="preserve">метода ГРВ 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возможен контроль изменений состояния </w:t>
      </w:r>
      <w:r w:rsidRPr="00513B07">
        <w:rPr>
          <w:rFonts w:ascii="Times New Roman" w:hAnsi="Times New Roman" w:cs="Times New Roman"/>
          <w:sz w:val="24"/>
          <w:szCs w:val="24"/>
        </w:rPr>
        <w:t>организма, разработка индивидуальных программ оздоровления, и, в соответствии с этим, корректировка курса реабилитационных и оздоровительных процедур, тренировок, выбор физических нагрузок. [20,21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>].</w:t>
      </w:r>
      <w:r w:rsidRPr="00513B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3B0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Инициация и регистрация газоразрядного свечения осуществлена с использованием прибора «GDV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Camera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>». Расчет характеристик газоразрядных изображений (ГРИ) пальцев рук произведен с использованием программы «</w:t>
      </w:r>
      <w:r w:rsidRPr="00513B07">
        <w:rPr>
          <w:rFonts w:ascii="Times New Roman" w:hAnsi="Times New Roman" w:cs="Times New Roman"/>
          <w:sz w:val="24"/>
          <w:szCs w:val="24"/>
          <w:lang w:val="en-US"/>
        </w:rPr>
        <w:t>GDV</w:t>
      </w:r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r w:rsidRPr="00513B07">
        <w:rPr>
          <w:rFonts w:ascii="Times New Roman" w:hAnsi="Times New Roman" w:cs="Times New Roman"/>
          <w:sz w:val="24"/>
          <w:szCs w:val="24"/>
          <w:lang w:val="en-US"/>
        </w:rPr>
        <w:t>Energy</w:t>
      </w:r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r w:rsidRPr="00513B07">
        <w:rPr>
          <w:rFonts w:ascii="Times New Roman" w:hAnsi="Times New Roman" w:cs="Times New Roman"/>
          <w:sz w:val="24"/>
          <w:szCs w:val="24"/>
          <w:lang w:val="en-US"/>
        </w:rPr>
        <w:t>field</w:t>
      </w:r>
      <w:r w:rsidRPr="00513B07">
        <w:rPr>
          <w:rFonts w:ascii="Times New Roman" w:hAnsi="Times New Roman" w:cs="Times New Roman"/>
          <w:sz w:val="24"/>
          <w:szCs w:val="24"/>
        </w:rPr>
        <w:t>» и «</w:t>
      </w:r>
      <w:r w:rsidRPr="00513B07">
        <w:rPr>
          <w:rFonts w:ascii="Times New Roman" w:hAnsi="Times New Roman" w:cs="Times New Roman"/>
          <w:sz w:val="24"/>
          <w:szCs w:val="24"/>
          <w:lang w:val="en-US"/>
        </w:rPr>
        <w:t>GDV</w:t>
      </w:r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B07">
        <w:rPr>
          <w:rFonts w:ascii="Times New Roman" w:hAnsi="Times New Roman" w:cs="Times New Roman"/>
          <w:sz w:val="24"/>
          <w:szCs w:val="24"/>
          <w:lang w:val="en-US"/>
        </w:rPr>
        <w:t>Diagramm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». Регистрацию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ГРВ-грамм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10 пальцев рук детей проводили до и после курса иппотерапии в режиме «без фильтра». ГРВ - граммы получали в специально оборудованной комнате, в которую ребенок заходил вместе с близкими ему людьми (фото 1,2).  </w:t>
      </w:r>
    </w:p>
    <w:p w:rsidR="00197E6C" w:rsidRPr="00513B07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B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83041" cy="26955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02" cy="270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6C" w:rsidRPr="000A596B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0A596B">
        <w:rPr>
          <w:rFonts w:ascii="Times New Roman" w:hAnsi="Times New Roman" w:cs="Times New Roman"/>
          <w:sz w:val="20"/>
          <w:szCs w:val="20"/>
        </w:rPr>
        <w:t xml:space="preserve">Фото 1. Подготовка к записи </w:t>
      </w:r>
      <w:proofErr w:type="spellStart"/>
      <w:r w:rsidRPr="000A596B">
        <w:rPr>
          <w:rFonts w:ascii="Times New Roman" w:hAnsi="Times New Roman" w:cs="Times New Roman"/>
          <w:sz w:val="20"/>
          <w:szCs w:val="20"/>
        </w:rPr>
        <w:t>ГРВ-граммы</w:t>
      </w:r>
      <w:proofErr w:type="spellEnd"/>
      <w:r w:rsidRPr="000A596B">
        <w:rPr>
          <w:rFonts w:ascii="Times New Roman" w:hAnsi="Times New Roman" w:cs="Times New Roman"/>
          <w:sz w:val="20"/>
          <w:szCs w:val="20"/>
        </w:rPr>
        <w:t xml:space="preserve"> у  пациента с диагнозом  ДЦП</w:t>
      </w:r>
    </w:p>
    <w:p w:rsidR="00197E6C" w:rsidRPr="00513B07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7649" cy="2762250"/>
            <wp:effectExtent l="19050" t="0" r="0" b="0"/>
            <wp:docPr id="9" name="Рисунок 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55" cy="27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6C" w:rsidRPr="000A596B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0A596B">
        <w:rPr>
          <w:rFonts w:ascii="Times New Roman" w:hAnsi="Times New Roman" w:cs="Times New Roman"/>
          <w:sz w:val="20"/>
          <w:szCs w:val="20"/>
        </w:rPr>
        <w:t>Фото 2. Процедура  снятия показателей энергетического потенциала пациента с пальцев правой руки.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lastRenderedPageBreak/>
        <w:t xml:space="preserve">Анализ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ГРВ-грамм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>, характеризующих состояние  вегетативных функций и энергетических ресурсов организма, проводился  с помощью специальных компьютерной программы.</w:t>
      </w:r>
    </w:p>
    <w:p w:rsidR="00197E6C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В табл. 4 представлены исследуемые показатели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ГРВ-грамм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детей с ДЦП во фронтальной плоскости до и после окончания занятий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иппотерапией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>.</w:t>
      </w:r>
    </w:p>
    <w:p w:rsidR="000A596B" w:rsidRPr="00513B07" w:rsidRDefault="000A596B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0A596B">
      <w:pPr>
        <w:spacing w:after="0" w:line="240" w:lineRule="auto"/>
        <w:ind w:left="70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Таблица 4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Средние значения ГРВ показателей до и после курса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иппотерпии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2835"/>
        <w:gridCol w:w="2839"/>
      </w:tblGrid>
      <w:tr w:rsidR="00197E6C" w:rsidRPr="00513B07" w:rsidTr="000B131B">
        <w:trPr>
          <w:trHeight w:val="488"/>
        </w:trPr>
        <w:tc>
          <w:tcPr>
            <w:tcW w:w="3794" w:type="dxa"/>
          </w:tcPr>
          <w:p w:rsidR="00197E6C" w:rsidRPr="00513B07" w:rsidRDefault="00197E6C" w:rsidP="000A5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35" w:type="dxa"/>
          </w:tcPr>
          <w:p w:rsidR="00197E6C" w:rsidRPr="00513B07" w:rsidRDefault="00197E6C" w:rsidP="000A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 курса иппотерапии (М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9" w:type="dxa"/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 курса иппотерапии (М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7E6C" w:rsidRPr="00513B07" w:rsidTr="000A596B">
        <w:trPr>
          <w:trHeight w:val="288"/>
        </w:trPr>
        <w:tc>
          <w:tcPr>
            <w:tcW w:w="3794" w:type="dxa"/>
          </w:tcPr>
          <w:p w:rsidR="00197E6C" w:rsidRPr="00513B07" w:rsidRDefault="00197E6C" w:rsidP="000A5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Площадь  изображения, пиксели</w:t>
            </w:r>
          </w:p>
        </w:tc>
        <w:tc>
          <w:tcPr>
            <w:tcW w:w="2835" w:type="dxa"/>
          </w:tcPr>
          <w:p w:rsidR="00197E6C" w:rsidRPr="00513B07" w:rsidRDefault="00197E6C" w:rsidP="000A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15431,9± 3 141,7</w:t>
            </w:r>
          </w:p>
        </w:tc>
        <w:tc>
          <w:tcPr>
            <w:tcW w:w="2839" w:type="dxa"/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 xml:space="preserve">21648,6 ± 2 406,5 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</w:tr>
      <w:tr w:rsidR="00197E6C" w:rsidRPr="00513B07" w:rsidTr="000B131B">
        <w:tc>
          <w:tcPr>
            <w:tcW w:w="3794" w:type="dxa"/>
          </w:tcPr>
          <w:p w:rsidR="00197E6C" w:rsidRPr="00513B07" w:rsidRDefault="00197E6C" w:rsidP="000A5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Симметрия, %</w:t>
            </w:r>
          </w:p>
        </w:tc>
        <w:tc>
          <w:tcPr>
            <w:tcW w:w="2835" w:type="dxa"/>
          </w:tcPr>
          <w:p w:rsidR="00197E6C" w:rsidRPr="00513B07" w:rsidRDefault="00197E6C" w:rsidP="000A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± 5, 2</w:t>
            </w:r>
          </w:p>
        </w:tc>
        <w:tc>
          <w:tcPr>
            <w:tcW w:w="2839" w:type="dxa"/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</w:tr>
      <w:tr w:rsidR="00197E6C" w:rsidRPr="00513B07" w:rsidTr="000B131B">
        <w:tc>
          <w:tcPr>
            <w:tcW w:w="3794" w:type="dxa"/>
          </w:tcPr>
          <w:p w:rsidR="00197E6C" w:rsidRPr="00513B07" w:rsidRDefault="00197E6C" w:rsidP="000A5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 xml:space="preserve">Энтропия, </w:t>
            </w:r>
            <w:proofErr w:type="spell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2835" w:type="dxa"/>
          </w:tcPr>
          <w:p w:rsidR="00197E6C" w:rsidRPr="00513B07" w:rsidRDefault="00197E6C" w:rsidP="000A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4,0 ± 1,0</w:t>
            </w:r>
          </w:p>
        </w:tc>
        <w:tc>
          <w:tcPr>
            <w:tcW w:w="2839" w:type="dxa"/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4,2 ± 0,8</w:t>
            </w:r>
          </w:p>
        </w:tc>
      </w:tr>
      <w:tr w:rsidR="00197E6C" w:rsidRPr="00513B07" w:rsidTr="000B131B">
        <w:tc>
          <w:tcPr>
            <w:tcW w:w="3794" w:type="dxa"/>
          </w:tcPr>
          <w:p w:rsidR="00197E6C" w:rsidRPr="00513B07" w:rsidRDefault="00197E6C" w:rsidP="000A5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формы, </w:t>
            </w:r>
            <w:proofErr w:type="spell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усл.ед</w:t>
            </w:r>
            <w:proofErr w:type="spellEnd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97E6C" w:rsidRPr="00513B07" w:rsidRDefault="00197E6C" w:rsidP="000A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32,3 ± 6,3</w:t>
            </w:r>
          </w:p>
        </w:tc>
        <w:tc>
          <w:tcPr>
            <w:tcW w:w="2839" w:type="dxa"/>
          </w:tcPr>
          <w:p w:rsidR="00197E6C" w:rsidRPr="00513B07" w:rsidRDefault="00197E6C" w:rsidP="000A596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23,8 ±4,2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</w:tr>
    </w:tbl>
    <w:p w:rsidR="00197E6C" w:rsidRPr="00513B07" w:rsidRDefault="00197E6C" w:rsidP="00513B07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513B07">
        <w:t xml:space="preserve">Обозначения: *- разница статистически достоверна при </w:t>
      </w:r>
      <w:r w:rsidRPr="00513B07">
        <w:rPr>
          <w:lang w:val="en-US"/>
        </w:rPr>
        <w:t>P</w:t>
      </w:r>
      <w:r w:rsidRPr="00513B07">
        <w:t>&lt;0,05</w:t>
      </w:r>
    </w:p>
    <w:p w:rsidR="00197E6C" w:rsidRPr="00513B07" w:rsidRDefault="00197E6C" w:rsidP="00513B0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513B07">
        <w:t xml:space="preserve">Анализ результатов  </w:t>
      </w:r>
      <w:proofErr w:type="spellStart"/>
      <w:r w:rsidRPr="00513B07">
        <w:t>ГРВ-биоэлектрографии</w:t>
      </w:r>
      <w:proofErr w:type="spellEnd"/>
      <w:r w:rsidRPr="00513B07">
        <w:t xml:space="preserve"> показал, что перед курсом иппотерапии площадь газоразрядного </w:t>
      </w:r>
      <w:r w:rsidRPr="00513B07">
        <w:rPr>
          <w:color w:val="000000"/>
        </w:rPr>
        <w:t>изображения в среднем</w:t>
      </w:r>
      <w:r w:rsidRPr="00513B07">
        <w:t xml:space="preserve"> составила 15431,9 пикселей. Это свидетельствует о недостаточном энергообеспечении функциональной активности систем организма (норма 18000 пикселей). По окончании курса иппотерапии  величина данного показателя увеличилась до 21648,6 пикселей (на 40,3 %). Площадь засветки является интегральным показателем функционирования организма и пропорциональна его энергетическому ресурсу [18</w:t>
      </w:r>
      <w:r w:rsidRPr="00513B07">
        <w:rPr>
          <w:color w:val="000000"/>
        </w:rPr>
        <w:t>].</w:t>
      </w:r>
      <w:r w:rsidRPr="00513B07">
        <w:rPr>
          <w:bCs/>
        </w:rPr>
        <w:t xml:space="preserve"> </w:t>
      </w:r>
    </w:p>
    <w:p w:rsidR="00197E6C" w:rsidRPr="00513B07" w:rsidRDefault="00197E6C" w:rsidP="00513B07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513B07">
        <w:t xml:space="preserve"> Изменение энергетического состояния больных подтверждается увеличением коэффициента симметрии с 77,2 до 85 %, что определяет тенденцию к восстановлению физиологического гомеостаза организма и повышению адаптационных ресурсов энергетического </w:t>
      </w:r>
      <w:proofErr w:type="spellStart"/>
      <w:r w:rsidRPr="00513B07">
        <w:t>гомеокинеза</w:t>
      </w:r>
      <w:proofErr w:type="spellEnd"/>
      <w:r w:rsidRPr="00513B07">
        <w:t xml:space="preserve">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Значения показателя удельной информационной энтропии, равные отношению энтропии к площади изображения, практически не изменились.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Коэффициент формы отражает степень изрезанности наружного контура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ГРВ-грамм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, характеризующий степень регулярности контура изображения. Средние значения того показателя в конце эксперимента уменьшились, что расценивается, как уплотнение контура и уменьшение числа «провалов».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На рис. 5 и 6 представлены газоразрядные изображения (ГРИ) свечения пальцев рук ребенка с ДЦП до и после курса иппотерапии. На рисунках наглядно видно, что после курса иппотерапии газоразрядные изображения пальцев более мощные, с большей площадью засветки и симметричнее, чем до курса.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0855" cy="7976870"/>
            <wp:effectExtent l="0" t="0" r="0" b="0"/>
            <wp:docPr id="12" name="Рисунок 12" descr="Волошенк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лошенко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797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E6C" w:rsidRPr="000A596B" w:rsidRDefault="00197E6C" w:rsidP="00513B07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sz w:val="20"/>
          <w:szCs w:val="20"/>
        </w:rPr>
      </w:pPr>
      <w:r w:rsidRPr="000A596B">
        <w:rPr>
          <w:rFonts w:ascii="Times New Roman" w:eastAsia="BatangChe" w:hAnsi="Times New Roman" w:cs="Times New Roman"/>
          <w:sz w:val="20"/>
          <w:szCs w:val="20"/>
        </w:rPr>
        <w:t xml:space="preserve">Рис.5. </w:t>
      </w:r>
      <w:proofErr w:type="spellStart"/>
      <w:proofErr w:type="gramStart"/>
      <w:r w:rsidRPr="000A596B">
        <w:rPr>
          <w:rFonts w:ascii="Times New Roman" w:eastAsia="BatangChe" w:hAnsi="Times New Roman" w:cs="Times New Roman"/>
          <w:sz w:val="20"/>
          <w:szCs w:val="20"/>
        </w:rPr>
        <w:t>ГРВ-граммы</w:t>
      </w:r>
      <w:proofErr w:type="spellEnd"/>
      <w:r w:rsidRPr="000A596B">
        <w:rPr>
          <w:rFonts w:ascii="Times New Roman" w:eastAsia="BatangChe" w:hAnsi="Times New Roman" w:cs="Times New Roman"/>
          <w:sz w:val="20"/>
          <w:szCs w:val="20"/>
        </w:rPr>
        <w:t>, зафиксированные на пальцах левой и правой руки до проведения курса занятий  иппотерапией у одного из участников эксперимента</w:t>
      </w:r>
      <w:proofErr w:type="gramEnd"/>
    </w:p>
    <w:p w:rsidR="00197E6C" w:rsidRPr="00513B07" w:rsidRDefault="00197E6C" w:rsidP="005046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B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-114300</wp:posOffset>
            </wp:positionV>
            <wp:extent cx="5991860" cy="8572500"/>
            <wp:effectExtent l="0" t="0" r="0" b="0"/>
            <wp:wrapTight wrapText="bothSides">
              <wp:wrapPolygon edited="0">
                <wp:start x="0" y="0"/>
                <wp:lineTo x="0" y="21552"/>
                <wp:lineTo x="21563" y="21552"/>
                <wp:lineTo x="21563" y="0"/>
                <wp:lineTo x="0" y="0"/>
              </wp:wrapPolygon>
            </wp:wrapTight>
            <wp:docPr id="11" name="Рисунок 11" descr="Волошенк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лошенко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0A596B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0A596B">
        <w:rPr>
          <w:rFonts w:ascii="Times New Roman" w:hAnsi="Times New Roman" w:cs="Times New Roman"/>
          <w:sz w:val="20"/>
          <w:szCs w:val="20"/>
        </w:rPr>
        <w:t>Рис. 6 .</w:t>
      </w:r>
      <w:proofErr w:type="spellStart"/>
      <w:r w:rsidRPr="000A596B">
        <w:rPr>
          <w:rFonts w:ascii="Times New Roman" w:hAnsi="Times New Roman" w:cs="Times New Roman"/>
          <w:sz w:val="20"/>
          <w:szCs w:val="20"/>
        </w:rPr>
        <w:t>ГРВ-граммы</w:t>
      </w:r>
      <w:proofErr w:type="spellEnd"/>
      <w:r w:rsidRPr="000A596B">
        <w:rPr>
          <w:rFonts w:ascii="Times New Roman" w:hAnsi="Times New Roman" w:cs="Times New Roman"/>
          <w:sz w:val="20"/>
          <w:szCs w:val="20"/>
        </w:rPr>
        <w:t>, зафиксированные на пальцах правой и левой руки после курса иппотерапии  у того же участника эксперимента</w:t>
      </w:r>
      <w:proofErr w:type="gramEnd"/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lastRenderedPageBreak/>
        <w:t xml:space="preserve">Компьютерная программа, входящая в комплект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ГРВ-камеры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, обрабатывает ГРВ граммы всех 10 пальцев и представляет их в виде свечения биоэнергетического поля вокруг человека. 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В качестве примера рассмотрим 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>персональную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ГРВ-грамму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, которая является типичным случаем изменения энергетического поля ребенка в процессе иппотерапии. На рис. 7 представлены  изменения энергетического поля 10-летнего пациента с тяжелой формой ДЦП до (а) и после (б) курса иппотерапии. </w:t>
      </w:r>
    </w:p>
    <w:p w:rsidR="00197E6C" w:rsidRPr="00513B07" w:rsidRDefault="000A596B" w:rsidP="00735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72390</wp:posOffset>
            </wp:positionV>
            <wp:extent cx="3895725" cy="2622550"/>
            <wp:effectExtent l="19050" t="0" r="9525" b="0"/>
            <wp:wrapTight wrapText="bothSides">
              <wp:wrapPolygon edited="0">
                <wp:start x="-106" y="0"/>
                <wp:lineTo x="-106" y="21495"/>
                <wp:lineTo x="21653" y="21495"/>
                <wp:lineTo x="21653" y="0"/>
                <wp:lineTo x="-106" y="0"/>
              </wp:wrapPolygon>
            </wp:wrapTight>
            <wp:docPr id="10" name="Рисунок 10" descr="Волош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ошен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0A5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A596B" w:rsidRDefault="000A596B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Б</w:t>
      </w:r>
    </w:p>
    <w:p w:rsidR="00197E6C" w:rsidRPr="00513B07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596B">
        <w:rPr>
          <w:rFonts w:ascii="Times New Roman" w:hAnsi="Times New Roman" w:cs="Times New Roman"/>
          <w:sz w:val="20"/>
          <w:szCs w:val="20"/>
        </w:rPr>
        <w:t xml:space="preserve">Рис.7. </w:t>
      </w:r>
      <w:proofErr w:type="spellStart"/>
      <w:r w:rsidRPr="000A596B">
        <w:rPr>
          <w:rFonts w:ascii="Times New Roman" w:hAnsi="Times New Roman" w:cs="Times New Roman"/>
          <w:sz w:val="20"/>
          <w:szCs w:val="20"/>
        </w:rPr>
        <w:t>ГРВ-граммы</w:t>
      </w:r>
      <w:proofErr w:type="spellEnd"/>
      <w:r w:rsidRPr="000A596B">
        <w:rPr>
          <w:rFonts w:ascii="Times New Roman" w:hAnsi="Times New Roman" w:cs="Times New Roman"/>
          <w:sz w:val="20"/>
          <w:szCs w:val="20"/>
        </w:rPr>
        <w:t xml:space="preserve"> ребенка с ДЦП, обработанные с помощью компьютерной программы</w:t>
      </w:r>
      <w:r w:rsidRPr="00513B07">
        <w:rPr>
          <w:rFonts w:ascii="Times New Roman" w:hAnsi="Times New Roman" w:cs="Times New Roman"/>
          <w:sz w:val="24"/>
          <w:szCs w:val="24"/>
        </w:rPr>
        <w:t>.</w:t>
      </w:r>
    </w:p>
    <w:p w:rsidR="000A596B" w:rsidRDefault="000A596B" w:rsidP="00513B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а - до курса иппотерапии (площадь  изображения -12281 пикселей, симметрия - 85 %);   б - после курса иппотерапии (площадь  изображения  - 21757 пикселей, симметрия - 91%)).</w:t>
      </w:r>
    </w:p>
    <w:p w:rsidR="00197E6C" w:rsidRDefault="00197E6C" w:rsidP="00513B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С помощью компьютерной программы </w:t>
      </w:r>
      <w:r w:rsidRPr="00513B07">
        <w:rPr>
          <w:rFonts w:ascii="Times New Roman" w:hAnsi="Times New Roman" w:cs="Times New Roman"/>
          <w:sz w:val="24"/>
          <w:szCs w:val="24"/>
          <w:lang w:val="en-US"/>
        </w:rPr>
        <w:t>GDV</w:t>
      </w:r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B07">
        <w:rPr>
          <w:rFonts w:ascii="Times New Roman" w:hAnsi="Times New Roman" w:cs="Times New Roman"/>
          <w:sz w:val="24"/>
          <w:szCs w:val="24"/>
          <w:lang w:val="en-US"/>
        </w:rPr>
        <w:t>Diagramm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получены также круговые диаграммы биоэнергетического статуса отдельных органов и систем организма этого же пациента, которые представлены на  рис. 8. </w:t>
      </w:r>
    </w:p>
    <w:p w:rsidR="005046F1" w:rsidRPr="00513B07" w:rsidRDefault="005046F1" w:rsidP="0050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3B07">
        <w:rPr>
          <w:rFonts w:ascii="Times New Roman" w:hAnsi="Times New Roman" w:cs="Times New Roman"/>
          <w:sz w:val="24"/>
          <w:szCs w:val="24"/>
        </w:rPr>
        <w:t xml:space="preserve">На данном рисунке  нахождение линии на поле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розового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цвета диаграммы свидетельствует об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энергодефицитном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состоянии соответствующего органа или системы организма, на поле зеленого цвета – о норме, на поле желтого цвета – о повышенном энергообеспечение или избытке энергии. </w:t>
      </w:r>
      <w:proofErr w:type="gramEnd"/>
    </w:p>
    <w:p w:rsidR="005046F1" w:rsidRPr="00513B07" w:rsidRDefault="005046F1" w:rsidP="0050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Проанализировав полученные диаграммы у данного пациента можно отметить, что до курса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иппотерапии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линия диаграммы (красный цвет) находилась или в области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энергодефицита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>, или близко к ней. После курса линия диаграммы (синий цвет) полностью находится в зеленой зоне (нормальное энергообеспечение).</w:t>
      </w:r>
    </w:p>
    <w:p w:rsidR="005046F1" w:rsidRPr="00513B07" w:rsidRDefault="005046F1" w:rsidP="0050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 При  анализе биоэнергетического статуса органов и систем остальных пациентов установлено, что практически для всех отмечалось тенденция к увеличению площади диаграмм и приближению их контура к более высокой зоне энергообеспечения (желтому цвету) от стартовой зоны, находящейся ближе к центру. </w:t>
      </w:r>
    </w:p>
    <w:p w:rsidR="005046F1" w:rsidRPr="00513B07" w:rsidRDefault="005046F1" w:rsidP="0050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В последнее время отмечается рост числа эндокринных заболеваний, особенно сахарного диабета (СД), который считается болезнью века. СД занимает третье место в мире по распространенности после сердечнососудистых и онкологических заболеваний и встречается примерно у 1-3% населения. Ежегодно число больных сахарным диабетом увеличивается на 6-10%, что приводит к удвоению их числа каждые 15 лет [7]</w:t>
      </w:r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513B07">
        <w:rPr>
          <w:rFonts w:ascii="Times New Roman" w:hAnsi="Times New Roman" w:cs="Times New Roman"/>
          <w:sz w:val="24"/>
          <w:szCs w:val="24"/>
        </w:rPr>
        <w:t>СД I типа (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>инсулинозависимый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 xml:space="preserve">) чаще развивается в детском и подростковом возрасте. Умеренные и дозированные физические нагрузки входят в комплекс современного лечения СД, так как они повышают чувствительность тканей к инсулину, усиливая его действие. </w:t>
      </w:r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анализе </w:t>
      </w:r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литературы установлено, что практически отсутствуют работы по оценке эффективности применения </w:t>
      </w:r>
      <w:proofErr w:type="spellStart"/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>иппотерапии</w:t>
      </w:r>
      <w:proofErr w:type="spellEnd"/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инсулинозависимой форме сахарного диабета (1-го типа)</w:t>
      </w:r>
    </w:p>
    <w:p w:rsidR="00197E6C" w:rsidRPr="000A596B" w:rsidRDefault="00197E6C" w:rsidP="000A59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3B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3724" cy="4191000"/>
            <wp:effectExtent l="19050" t="0" r="3676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24" cy="419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96B">
        <w:rPr>
          <w:rFonts w:ascii="Times New Roman" w:hAnsi="Times New Roman" w:cs="Times New Roman"/>
          <w:sz w:val="20"/>
          <w:szCs w:val="20"/>
        </w:rPr>
        <w:t>Рис.8. Диаграммы биоэнергетического статуса отдельных органов и систем организма ребенка с ДЦП (красная линия – до курса иппотерапии, синяя – после курса).</w:t>
      </w:r>
    </w:p>
    <w:p w:rsidR="005046F1" w:rsidRDefault="005046F1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Иппотерапия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– «лечение с помощью лошади» - становится  весьма популярным методом физической реабилитации [11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>],</w:t>
      </w:r>
      <w:r w:rsidRPr="00513B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3B07">
        <w:rPr>
          <w:rFonts w:ascii="Times New Roman" w:hAnsi="Times New Roman" w:cs="Times New Roman"/>
          <w:sz w:val="24"/>
          <w:szCs w:val="24"/>
        </w:rPr>
        <w:t>однако, в связи с трудностью  организации мониторинга  содержания глюкозы в крови в ходе занятия, она имеет относительные противопоказания  при сахарном диабете. Исследований и публикации на эту тему крайне мало.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В исследовании приняли участие 10 детей (девочки и мальчики) в возрасте от 7 до 13 лет с компенсированной формой сахарного диабета. Стаж заболевания  СД от 2 до 8 лет.  Проведено 20 занятий продолжительностью от 20 минут в начале курса и до 30 минут по его завершению.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У детей  сохранны все функции, они могли самостоятельно сидеть на лошади и  управлять ее движениями к 2-3 занятию. Инструктор находился рядом с лошадью на земле. Подбор упражнений на лошади был стандартным.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До начала и по окончанию курса иппотерапии определялись  показатели биохимического  состава крови: общий белок (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>/л), холестерин (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/л),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креатинин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>/л), мочевина (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/л),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триглицериды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/л). </w:t>
      </w:r>
      <w:proofErr w:type="gramStart"/>
      <w:r w:rsidRPr="00513B07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513B07">
        <w:rPr>
          <w:rFonts w:ascii="Times New Roman" w:hAnsi="Times New Roman" w:cs="Times New Roman"/>
          <w:sz w:val="24"/>
          <w:szCs w:val="24"/>
        </w:rPr>
        <w:t xml:space="preserve"> и после каждого занятия  у детей определяли концентрацию глюкозы в крови (показатель гликемии,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/л)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глюкометром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Touch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Ultra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фирмы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Johnson&amp;Johnson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>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До и после окончания занятия проводили оценку состояния респираторной системы по  величине ЖЕЛ (жизненная емкость легких, мл), состояние вестибулярного аппарата по пробе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Ромберга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(с), особенности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психоэмоционального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состояния (самочувствие, настроение, активность) по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опроснику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САН;  </w:t>
      </w:r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оценку психофизиологических параметров (оценка </w:t>
      </w:r>
      <w:r w:rsidRPr="00513B07">
        <w:rPr>
          <w:rFonts w:ascii="Times New Roman" w:hAnsi="Times New Roman" w:cs="Times New Roman"/>
          <w:sz w:val="24"/>
          <w:szCs w:val="24"/>
        </w:rPr>
        <w:t>простой и сложной сенсомоторной реакции, динамической координаци</w:t>
      </w:r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>и) с использованием диагностического комплекса «</w:t>
      </w:r>
      <w:proofErr w:type="spellStart"/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>Психомат</w:t>
      </w:r>
      <w:proofErr w:type="spellEnd"/>
      <w:r w:rsidRPr="00513B07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513B07">
        <w:rPr>
          <w:rFonts w:ascii="Times New Roman" w:hAnsi="Times New Roman" w:cs="Times New Roman"/>
          <w:sz w:val="24"/>
          <w:szCs w:val="24"/>
        </w:rPr>
        <w:t>В ходе исследования установлено, что индивидуальные показатели биохимического состава крови у  всадников не выходили за пределы нормальных значений (табл.5).</w:t>
      </w:r>
    </w:p>
    <w:p w:rsidR="00197E6C" w:rsidRPr="00513B07" w:rsidRDefault="00197E6C" w:rsidP="00513B0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Таблица 5</w:t>
      </w:r>
    </w:p>
    <w:p w:rsidR="00197E6C" w:rsidRPr="00513B07" w:rsidRDefault="00197E6C" w:rsidP="0051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Средние данные биохимического анализа крови</w:t>
      </w:r>
    </w:p>
    <w:tbl>
      <w:tblPr>
        <w:tblStyle w:val="a3"/>
        <w:tblW w:w="0" w:type="auto"/>
        <w:tblLook w:val="04A0"/>
      </w:tblPr>
      <w:tblGrid>
        <w:gridCol w:w="3369"/>
        <w:gridCol w:w="2126"/>
        <w:gridCol w:w="2126"/>
        <w:gridCol w:w="1950"/>
      </w:tblGrid>
      <w:tr w:rsidR="00197E6C" w:rsidRPr="00513B07" w:rsidTr="000B131B">
        <w:tc>
          <w:tcPr>
            <w:tcW w:w="3369" w:type="dxa"/>
          </w:tcPr>
          <w:p w:rsidR="00197E6C" w:rsidRPr="00513B07" w:rsidRDefault="00197E6C" w:rsidP="000A5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До эксперимента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После эксперимента</w:t>
            </w:r>
          </w:p>
        </w:tc>
        <w:tc>
          <w:tcPr>
            <w:tcW w:w="1950" w:type="dxa"/>
            <w:vMerge w:val="restart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197E6C" w:rsidRPr="00513B07" w:rsidTr="000B131B">
        <w:tc>
          <w:tcPr>
            <w:tcW w:w="3369" w:type="dxa"/>
          </w:tcPr>
          <w:p w:rsidR="00197E6C" w:rsidRPr="00513B07" w:rsidRDefault="00197E6C" w:rsidP="000A5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Элемент крови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М±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М±</w:t>
            </w: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950" w:type="dxa"/>
            <w:vMerge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E6C" w:rsidRPr="00513B07" w:rsidTr="000B131B">
        <w:tc>
          <w:tcPr>
            <w:tcW w:w="3369" w:type="dxa"/>
          </w:tcPr>
          <w:p w:rsidR="00197E6C" w:rsidRPr="00513B07" w:rsidRDefault="00197E6C" w:rsidP="000A5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Общий белок (</w:t>
            </w:r>
            <w:proofErr w:type="gram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л)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60±1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61±2</w:t>
            </w:r>
          </w:p>
        </w:tc>
        <w:tc>
          <w:tcPr>
            <w:tcW w:w="1950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&gt;0,05</w:t>
            </w:r>
          </w:p>
        </w:tc>
      </w:tr>
      <w:tr w:rsidR="00197E6C" w:rsidRPr="00513B07" w:rsidTr="000B131B">
        <w:tc>
          <w:tcPr>
            <w:tcW w:w="3369" w:type="dxa"/>
          </w:tcPr>
          <w:p w:rsidR="00197E6C" w:rsidRPr="00513B07" w:rsidRDefault="00197E6C" w:rsidP="000A5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 xml:space="preserve">Холестерин </w:t>
            </w:r>
            <w:r w:rsidRPr="00513B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(моль/л)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3,97±0,04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3,93±0,06</w:t>
            </w:r>
          </w:p>
        </w:tc>
        <w:tc>
          <w:tcPr>
            <w:tcW w:w="1950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&gt;0,05</w:t>
            </w:r>
          </w:p>
        </w:tc>
      </w:tr>
      <w:tr w:rsidR="00197E6C" w:rsidRPr="00513B07" w:rsidTr="000B131B">
        <w:tc>
          <w:tcPr>
            <w:tcW w:w="3369" w:type="dxa"/>
          </w:tcPr>
          <w:p w:rsidR="00197E6C" w:rsidRPr="00513B07" w:rsidRDefault="00197E6C" w:rsidP="000A5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Креатинин</w:t>
            </w:r>
            <w:proofErr w:type="spellEnd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мкмоль</w:t>
            </w:r>
            <w:proofErr w:type="spellEnd"/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л)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63±1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62±1,5</w:t>
            </w:r>
          </w:p>
        </w:tc>
        <w:tc>
          <w:tcPr>
            <w:tcW w:w="1950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&gt;0,05</w:t>
            </w:r>
          </w:p>
        </w:tc>
      </w:tr>
      <w:tr w:rsidR="00197E6C" w:rsidRPr="00513B07" w:rsidTr="000B131B">
        <w:tc>
          <w:tcPr>
            <w:tcW w:w="3369" w:type="dxa"/>
          </w:tcPr>
          <w:p w:rsidR="00197E6C" w:rsidRPr="00513B07" w:rsidRDefault="00197E6C" w:rsidP="000A5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Мочевина (</w:t>
            </w:r>
            <w:proofErr w:type="spell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л)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2,3±0,2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2,4± 0,3</w:t>
            </w:r>
          </w:p>
        </w:tc>
        <w:tc>
          <w:tcPr>
            <w:tcW w:w="1950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&gt;0,05</w:t>
            </w:r>
          </w:p>
        </w:tc>
      </w:tr>
      <w:tr w:rsidR="00197E6C" w:rsidRPr="00513B07" w:rsidTr="000B131B">
        <w:tc>
          <w:tcPr>
            <w:tcW w:w="3369" w:type="dxa"/>
          </w:tcPr>
          <w:p w:rsidR="00197E6C" w:rsidRPr="00513B07" w:rsidRDefault="00197E6C" w:rsidP="000A5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3B07">
              <w:rPr>
                <w:rStyle w:val="ab"/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>Триглицериды</w:t>
            </w:r>
            <w:proofErr w:type="spellEnd"/>
            <w:r w:rsidRPr="00513B07">
              <w:rPr>
                <w:rStyle w:val="ab"/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 xml:space="preserve"> (</w:t>
            </w:r>
            <w:proofErr w:type="spellStart"/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л)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0,53±0,03</w:t>
            </w:r>
          </w:p>
        </w:tc>
        <w:tc>
          <w:tcPr>
            <w:tcW w:w="2126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</w:rPr>
              <w:t>0,55±0,05</w:t>
            </w:r>
          </w:p>
        </w:tc>
        <w:tc>
          <w:tcPr>
            <w:tcW w:w="1950" w:type="dxa"/>
          </w:tcPr>
          <w:p w:rsidR="00197E6C" w:rsidRPr="00513B07" w:rsidRDefault="00197E6C" w:rsidP="000A596B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&gt;0,05</w:t>
            </w:r>
          </w:p>
        </w:tc>
      </w:tr>
    </w:tbl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При анализе динамики содержания глюкозы крови в ходе эксперимента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установлены изменения средних показателей гликемии в ходе занятий (</w:t>
      </w:r>
      <w:r w:rsidRPr="00513B07">
        <w:rPr>
          <w:rFonts w:ascii="Times New Roman" w:eastAsia="Times-Italic" w:hAnsi="Times New Roman" w:cs="Times New Roman"/>
          <w:iCs/>
          <w:sz w:val="24"/>
          <w:szCs w:val="24"/>
        </w:rPr>
        <w:t xml:space="preserve">рис.9). Если средняя величина содержания глюкозы в начале занятий составляла около 14 </w:t>
      </w:r>
      <w:proofErr w:type="spellStart"/>
      <w:r w:rsidRPr="00513B07">
        <w:rPr>
          <w:rFonts w:ascii="Times New Roman" w:eastAsia="Times-Italic" w:hAnsi="Times New Roman" w:cs="Times New Roman"/>
          <w:iCs/>
          <w:sz w:val="24"/>
          <w:szCs w:val="24"/>
        </w:rPr>
        <w:t>ммоль</w:t>
      </w:r>
      <w:proofErr w:type="spellEnd"/>
      <w:r w:rsidRPr="00513B07">
        <w:rPr>
          <w:rFonts w:ascii="Times New Roman" w:eastAsia="Times-Italic" w:hAnsi="Times New Roman" w:cs="Times New Roman"/>
          <w:iCs/>
          <w:sz w:val="24"/>
          <w:szCs w:val="24"/>
        </w:rPr>
        <w:t>/л, то к окончанию курса после занятий она находилась в пределах нормы.</w:t>
      </w:r>
    </w:p>
    <w:p w:rsidR="00197E6C" w:rsidRPr="00513B07" w:rsidRDefault="00197E6C" w:rsidP="00513B07">
      <w:pPr>
        <w:spacing w:after="0" w:line="240" w:lineRule="auto"/>
        <w:ind w:firstLine="709"/>
        <w:rPr>
          <w:rFonts w:ascii="Times New Roman" w:eastAsia="Times-Italic" w:hAnsi="Times New Roman" w:cs="Times New Roman"/>
          <w:iCs/>
          <w:sz w:val="24"/>
          <w:szCs w:val="24"/>
        </w:rPr>
      </w:pPr>
    </w:p>
    <w:p w:rsidR="00197E6C" w:rsidRPr="00513B07" w:rsidRDefault="00197E6C" w:rsidP="005046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Italic" w:hAnsi="Times New Roman" w:cs="Times New Roman"/>
          <w:iCs/>
          <w:sz w:val="24"/>
          <w:szCs w:val="24"/>
        </w:rPr>
      </w:pPr>
      <w:r w:rsidRPr="00513B07">
        <w:rPr>
          <w:rFonts w:ascii="Times New Roman" w:eastAsia="Times-Italic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499279" cy="1777284"/>
            <wp:effectExtent l="0" t="0" r="0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97E6C" w:rsidRPr="00513B07" w:rsidRDefault="00197E6C" w:rsidP="00513B0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-Italic" w:hAnsi="Times New Roman" w:cs="Times New Roman"/>
          <w:iCs/>
          <w:sz w:val="24"/>
          <w:szCs w:val="24"/>
        </w:rPr>
      </w:pPr>
      <w:r w:rsidRPr="005046F1">
        <w:rPr>
          <w:rFonts w:ascii="Times New Roman" w:eastAsia="Times-Italic" w:hAnsi="Times New Roman" w:cs="Times New Roman"/>
          <w:iCs/>
          <w:sz w:val="20"/>
          <w:szCs w:val="20"/>
        </w:rPr>
        <w:t>Рисунок 9. Усредненная динамика гликемии (</w:t>
      </w:r>
      <w:proofErr w:type="spellStart"/>
      <w:r w:rsidRPr="005046F1">
        <w:rPr>
          <w:rFonts w:ascii="Times New Roman" w:eastAsia="Times-Italic" w:hAnsi="Times New Roman" w:cs="Times New Roman"/>
          <w:iCs/>
          <w:sz w:val="20"/>
          <w:szCs w:val="20"/>
        </w:rPr>
        <w:t>ммоль</w:t>
      </w:r>
      <w:proofErr w:type="spellEnd"/>
      <w:r w:rsidRPr="005046F1">
        <w:rPr>
          <w:rFonts w:ascii="Times New Roman" w:eastAsia="Times-Italic" w:hAnsi="Times New Roman" w:cs="Times New Roman"/>
          <w:iCs/>
          <w:sz w:val="20"/>
          <w:szCs w:val="20"/>
        </w:rPr>
        <w:t>/л) до и после каждого из 10 занятий иппотерапией</w:t>
      </w:r>
      <w:r w:rsidRPr="00513B07">
        <w:rPr>
          <w:rFonts w:ascii="Times New Roman" w:eastAsia="Times-Italic" w:hAnsi="Times New Roman" w:cs="Times New Roman"/>
          <w:iCs/>
          <w:sz w:val="24"/>
          <w:szCs w:val="24"/>
        </w:rPr>
        <w:t>.</w:t>
      </w:r>
    </w:p>
    <w:p w:rsidR="00197E6C" w:rsidRPr="00513B07" w:rsidRDefault="00197E6C" w:rsidP="00513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513B07">
        <w:rPr>
          <w:rFonts w:ascii="Times New Roman" w:eastAsia="Times-Roman" w:hAnsi="Times New Roman" w:cs="Times New Roman"/>
          <w:sz w:val="24"/>
          <w:szCs w:val="24"/>
        </w:rPr>
        <w:t xml:space="preserve">Высокий уровень концентрации глюкозы на первых занятиях можно объяснить </w:t>
      </w:r>
      <w:r w:rsidRPr="00513B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возникновением стресса у детей, не имевших ранее контакта с лошадью</w:t>
      </w:r>
      <w:r w:rsidRPr="00513B07">
        <w:rPr>
          <w:rFonts w:ascii="Times New Roman" w:eastAsia="Times-Roman" w:hAnsi="Times New Roman" w:cs="Times New Roman"/>
          <w:sz w:val="24"/>
          <w:szCs w:val="24"/>
        </w:rPr>
        <w:t xml:space="preserve">. В ходе занятий постепенно происходило снижение показателя гликемии, причем в конце цикла занятий разница в концентрации глюкозы в начале и в конце занятия была статистически достоверной </w:t>
      </w:r>
      <w:r w:rsidRPr="00513B07">
        <w:rPr>
          <w:rFonts w:ascii="Times New Roman" w:hAnsi="Times New Roman" w:cs="Times New Roman"/>
          <w:sz w:val="24"/>
          <w:szCs w:val="24"/>
        </w:rPr>
        <w:t>(</w:t>
      </w:r>
      <w:r w:rsidRPr="00513B0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13B07">
        <w:rPr>
          <w:rFonts w:ascii="Times New Roman" w:hAnsi="Times New Roman" w:cs="Times New Roman"/>
          <w:sz w:val="24"/>
          <w:szCs w:val="24"/>
        </w:rPr>
        <w:t>&lt;0,05)</w:t>
      </w:r>
      <w:r w:rsidRPr="00513B07">
        <w:rPr>
          <w:rFonts w:ascii="Times New Roman" w:eastAsia="Times-Roman" w:hAnsi="Times New Roman" w:cs="Times New Roman"/>
          <w:sz w:val="24"/>
          <w:szCs w:val="24"/>
        </w:rPr>
        <w:t>.</w:t>
      </w:r>
    </w:p>
    <w:p w:rsidR="00197E6C" w:rsidRPr="00513B07" w:rsidRDefault="00197E6C" w:rsidP="00513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  <w:r w:rsidRPr="00513B07">
        <w:rPr>
          <w:rFonts w:ascii="Times New Roman" w:eastAsia="Times-Italic" w:hAnsi="Times New Roman" w:cs="Times New Roman"/>
          <w:iCs/>
          <w:sz w:val="24"/>
          <w:szCs w:val="24"/>
        </w:rPr>
        <w:t xml:space="preserve">На рис.10 представлена индивидуальная динамика </w:t>
      </w:r>
      <w:r w:rsidR="005046F1">
        <w:rPr>
          <w:rFonts w:ascii="Times New Roman" w:eastAsia="Times-Italic" w:hAnsi="Times New Roman" w:cs="Times New Roman"/>
          <w:iCs/>
          <w:sz w:val="24"/>
          <w:szCs w:val="24"/>
        </w:rPr>
        <w:t>гликем</w:t>
      </w:r>
      <w:proofErr w:type="gramStart"/>
      <w:r w:rsidR="005046F1">
        <w:rPr>
          <w:rFonts w:ascii="Times New Roman" w:eastAsia="Times-Italic" w:hAnsi="Times New Roman" w:cs="Times New Roman"/>
          <w:iCs/>
          <w:sz w:val="24"/>
          <w:szCs w:val="24"/>
        </w:rPr>
        <w:t>ии у о</w:t>
      </w:r>
      <w:proofErr w:type="gramEnd"/>
      <w:r w:rsidR="005046F1">
        <w:rPr>
          <w:rFonts w:ascii="Times New Roman" w:eastAsia="Times-Italic" w:hAnsi="Times New Roman" w:cs="Times New Roman"/>
          <w:iCs/>
          <w:sz w:val="24"/>
          <w:szCs w:val="24"/>
        </w:rPr>
        <w:t xml:space="preserve">дного из всадников </w:t>
      </w:r>
      <w:r w:rsidRPr="00513B07">
        <w:rPr>
          <w:rFonts w:ascii="Times New Roman" w:eastAsia="Times-Italic" w:hAnsi="Times New Roman" w:cs="Times New Roman"/>
          <w:iCs/>
          <w:sz w:val="24"/>
          <w:szCs w:val="24"/>
        </w:rPr>
        <w:t>(Иван В.,10 лет).</w:t>
      </w:r>
    </w:p>
    <w:p w:rsidR="00197E6C" w:rsidRPr="00513B07" w:rsidRDefault="00197E6C" w:rsidP="00513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</w:p>
    <w:p w:rsidR="00197E6C" w:rsidRPr="00513B07" w:rsidRDefault="00197E6C" w:rsidP="00513B0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-Italic" w:hAnsi="Times New Roman" w:cs="Times New Roman"/>
          <w:iCs/>
          <w:sz w:val="24"/>
          <w:szCs w:val="24"/>
        </w:rPr>
      </w:pPr>
      <w:r w:rsidRPr="00513B07">
        <w:rPr>
          <w:rFonts w:ascii="Times New Roman" w:eastAsia="Times-Italic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499279" cy="1777284"/>
            <wp:effectExtent l="0" t="0" r="0" b="0"/>
            <wp:docPr id="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7E6C" w:rsidRPr="00513B07" w:rsidRDefault="00197E6C" w:rsidP="00513B0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-Italic" w:hAnsi="Times New Roman" w:cs="Times New Roman"/>
          <w:iCs/>
          <w:sz w:val="24"/>
          <w:szCs w:val="24"/>
        </w:rPr>
      </w:pPr>
      <w:r w:rsidRPr="00735A7B">
        <w:rPr>
          <w:rFonts w:ascii="Times New Roman" w:eastAsia="Times-Italic" w:hAnsi="Times New Roman" w:cs="Times New Roman"/>
          <w:iCs/>
          <w:sz w:val="20"/>
          <w:szCs w:val="20"/>
        </w:rPr>
        <w:t>Рисунок 10. Индивидуальная динамика гликемии (</w:t>
      </w:r>
      <w:proofErr w:type="spellStart"/>
      <w:r w:rsidRPr="00735A7B">
        <w:rPr>
          <w:rFonts w:ascii="Times New Roman" w:eastAsia="Times-Italic" w:hAnsi="Times New Roman" w:cs="Times New Roman"/>
          <w:iCs/>
          <w:sz w:val="20"/>
          <w:szCs w:val="20"/>
        </w:rPr>
        <w:t>ммоль</w:t>
      </w:r>
      <w:proofErr w:type="spellEnd"/>
      <w:r w:rsidRPr="00735A7B">
        <w:rPr>
          <w:rFonts w:ascii="Times New Roman" w:eastAsia="Times-Italic" w:hAnsi="Times New Roman" w:cs="Times New Roman"/>
          <w:iCs/>
          <w:sz w:val="20"/>
          <w:szCs w:val="20"/>
        </w:rPr>
        <w:t>/л) до и после каждого занятия иппотерапией одного из детей с заболеванием сахарный диабет 1-го типа</w:t>
      </w:r>
      <w:r w:rsidRPr="00513B07">
        <w:rPr>
          <w:rFonts w:ascii="Times New Roman" w:eastAsia="Times-Italic" w:hAnsi="Times New Roman" w:cs="Times New Roman"/>
          <w:iCs/>
          <w:sz w:val="24"/>
          <w:szCs w:val="24"/>
        </w:rPr>
        <w:t>.</w:t>
      </w:r>
    </w:p>
    <w:p w:rsidR="00197E6C" w:rsidRPr="00513B07" w:rsidRDefault="00197E6C" w:rsidP="00513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lastRenderedPageBreak/>
        <w:t>При оценке эмоционального состояния по методике САН</w:t>
      </w:r>
      <w:r w:rsidRPr="00513B07">
        <w:rPr>
          <w:rFonts w:ascii="Times New Roman" w:eastAsia="Times-Roman" w:hAnsi="Times New Roman" w:cs="Times New Roman"/>
          <w:sz w:val="24"/>
          <w:szCs w:val="24"/>
        </w:rPr>
        <w:t xml:space="preserve">  \установлено, что самочувствие и настроение всадников повысилось в среднем на 2 балла, активность – на 1 балл. Отмечена тенденция к улучшению исследуемых показателей  у всех детей (рис.11).</w:t>
      </w:r>
    </w:p>
    <w:p w:rsidR="00197E6C" w:rsidRPr="00513B07" w:rsidRDefault="00197E6C" w:rsidP="00513B07">
      <w:pPr>
        <w:tabs>
          <w:tab w:val="left" w:pos="373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tabs>
          <w:tab w:val="left" w:pos="373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513B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9420" cy="2322195"/>
            <wp:effectExtent l="0" t="0" r="0" b="0"/>
            <wp:docPr id="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7E6C" w:rsidRPr="00513B07" w:rsidRDefault="00197E6C" w:rsidP="00735A7B">
      <w:pPr>
        <w:tabs>
          <w:tab w:val="left" w:pos="37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35A7B">
        <w:rPr>
          <w:rFonts w:ascii="Times New Roman" w:hAnsi="Times New Roman" w:cs="Times New Roman"/>
          <w:sz w:val="20"/>
          <w:szCs w:val="20"/>
        </w:rPr>
        <w:t>Рисунок 11. Динамика изменения самочувствия, активности и настроения у детей с сахарным диабетом до и после курса иппотерапии</w:t>
      </w:r>
      <w:r w:rsidRPr="00513B07">
        <w:rPr>
          <w:rFonts w:ascii="Times New Roman" w:hAnsi="Times New Roman" w:cs="Times New Roman"/>
          <w:sz w:val="24"/>
          <w:szCs w:val="24"/>
        </w:rPr>
        <w:t>.</w:t>
      </w:r>
    </w:p>
    <w:p w:rsidR="00197E6C" w:rsidRPr="00513B07" w:rsidRDefault="00197E6C" w:rsidP="00513B07">
      <w:pPr>
        <w:tabs>
          <w:tab w:val="left" w:pos="3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остальные исследуемые параметры в ходе эксперимента  не имели  статистически значимых отличий в конце эксперимента по сравнению с начальными значениями.</w:t>
      </w:r>
    </w:p>
    <w:p w:rsidR="00197E6C" w:rsidRPr="00513B07" w:rsidRDefault="00197E6C" w:rsidP="00513B0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C00000"/>
        </w:rPr>
      </w:pPr>
      <w:r w:rsidRPr="00513B07">
        <w:rPr>
          <w:color w:val="000000"/>
        </w:rPr>
        <w:t xml:space="preserve"> Установлено, что во время прохождения курса занятий по иппотерапии отмечена тенденция постепенного снижения показателя глюкозы крови к концу занятия</w:t>
      </w:r>
      <w:r w:rsidRPr="00513B07">
        <w:rPr>
          <w:rFonts w:eastAsia="Times-Roman"/>
        </w:rPr>
        <w:t xml:space="preserve">, причем в конце цикла занятий разница в концентрации глюкозы в начале и в конце занятия была статистически достоверной </w:t>
      </w:r>
      <w:r w:rsidRPr="00513B07">
        <w:t>(</w:t>
      </w:r>
      <w:proofErr w:type="gramStart"/>
      <w:r w:rsidRPr="00513B07">
        <w:t>Р</w:t>
      </w:r>
      <w:proofErr w:type="gramEnd"/>
      <w:r w:rsidRPr="00513B07">
        <w:t>&lt;0,05)</w:t>
      </w:r>
      <w:r w:rsidRPr="00513B07">
        <w:rPr>
          <w:rFonts w:eastAsia="Times-Roman"/>
        </w:rPr>
        <w:t xml:space="preserve">. </w:t>
      </w:r>
      <w:r w:rsidRPr="00513B07">
        <w:t>Полученные данные</w:t>
      </w:r>
      <w:r w:rsidRPr="00513B07">
        <w:rPr>
          <w:color w:val="000000"/>
        </w:rPr>
        <w:t xml:space="preserve"> свидетельствуют о приближении показателей к нормальному содержанию глюкозы крови в процессе курса иппотерапии, что, вероятно, является результатом воздействия специфических и неспецифических факторов иппотерапии.</w:t>
      </w:r>
    </w:p>
    <w:p w:rsidR="00197E6C" w:rsidRPr="00513B07" w:rsidRDefault="00197E6C" w:rsidP="00513B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>В ходе бесед с родителями и опекунами детей, участвующих в исследовании, было отмечено, что практически у всех детей в процессе занятий отмечалось оптимизация мышечного тонуса, более высокая степень регуляции вегетативных функций, улучшение сна, усиление аппетита, появление желания и возможности самостоятельного передвижения, расширение сферы жизнедеятельности, повышение уровня самообслуживания. Возможность пообщаться с лошадью, иппотерапевтической командой и сами иппотерапевтические занятия вызывали у детей положительную эмоциональную реакцию. В</w:t>
      </w:r>
      <w:r w:rsidRPr="00513B07">
        <w:rPr>
          <w:rFonts w:ascii="Times New Roman" w:hAnsi="Times New Roman" w:cs="Times New Roman"/>
          <w:sz w:val="24"/>
          <w:szCs w:val="24"/>
          <w:shd w:val="clear" w:color="auto" w:fill="FFFFFF"/>
        </w:rPr>
        <w:t>стреча с лошадью и проведение занятий иппотерапией для детей оказывалась предпочтительнее других реабилитационных технологий.</w:t>
      </w:r>
      <w:r w:rsidRPr="00513B07">
        <w:rPr>
          <w:rFonts w:ascii="Times New Roman" w:hAnsi="Times New Roman" w:cs="Times New Roman"/>
          <w:color w:val="000000"/>
          <w:sz w:val="24"/>
          <w:szCs w:val="24"/>
        </w:rPr>
        <w:t xml:space="preserve"> Некоторые родители  детей, больных сахарным диабетом, отмечали, что доза вводимого инсулина после занятий снижалась. </w:t>
      </w:r>
    </w:p>
    <w:p w:rsidR="00197E6C" w:rsidRPr="00513B07" w:rsidRDefault="00197E6C" w:rsidP="00735A7B">
      <w:pPr>
        <w:pStyle w:val="2"/>
        <w:spacing w:before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3B07">
        <w:rPr>
          <w:rFonts w:ascii="Times New Roman" w:hAnsi="Times New Roman" w:cs="Times New Roman"/>
          <w:sz w:val="24"/>
          <w:szCs w:val="24"/>
          <w:shd w:val="clear" w:color="auto" w:fill="FFFFFF"/>
        </w:rPr>
        <w:t>Выводы</w:t>
      </w:r>
    </w:p>
    <w:p w:rsidR="00197E6C" w:rsidRPr="00513B07" w:rsidRDefault="00197E6C" w:rsidP="00513B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513B07">
        <w:rPr>
          <w:rFonts w:ascii="Times New Roman" w:hAnsi="Times New Roman" w:cs="Times New Roman"/>
          <w:kern w:val="1"/>
          <w:sz w:val="24"/>
          <w:szCs w:val="24"/>
        </w:rPr>
        <w:t xml:space="preserve">1. Верховая езда как  </w:t>
      </w:r>
      <w:proofErr w:type="spellStart"/>
      <w:proofErr w:type="gramStart"/>
      <w:r w:rsidRPr="00513B07">
        <w:rPr>
          <w:rFonts w:ascii="Times New Roman" w:hAnsi="Times New Roman" w:cs="Times New Roman"/>
          <w:kern w:val="1"/>
          <w:sz w:val="24"/>
          <w:szCs w:val="24"/>
        </w:rPr>
        <w:t>физкультурно</w:t>
      </w:r>
      <w:proofErr w:type="spellEnd"/>
      <w:r w:rsidRPr="00513B07">
        <w:rPr>
          <w:rFonts w:ascii="Times New Roman" w:hAnsi="Times New Roman" w:cs="Times New Roman"/>
          <w:kern w:val="1"/>
          <w:sz w:val="24"/>
          <w:szCs w:val="24"/>
        </w:rPr>
        <w:t xml:space="preserve"> - оздоровительная</w:t>
      </w:r>
      <w:proofErr w:type="gramEnd"/>
      <w:r w:rsidRPr="00513B07">
        <w:rPr>
          <w:rFonts w:ascii="Times New Roman" w:hAnsi="Times New Roman" w:cs="Times New Roman"/>
          <w:kern w:val="1"/>
          <w:sz w:val="24"/>
          <w:szCs w:val="24"/>
        </w:rPr>
        <w:t xml:space="preserve"> технология интуитивно или осознанно применялась человечеством на протяжении  долгого времени, но именно в последнее время становится все более популярной. Однако до настоящего времени  практически не имеется объективных данных, доказывающих ее эффективность при воздействии на организм людей с различными нозологиями.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t>2. Установлено, что занятия верховой ездой благоприятно действуют на физический и психологический статус детей - инвалидов,  повышают их способность адаптироваться к изменяющимся условиям среды и требованиям социума.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Отмечено улучшение вегетативной регуляции функций детей с тяжелой формой ДЦП, улучшение подвижности суставов нижних конечностей,  повышение диапазона движений, улучшение энергетического статуса.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07">
        <w:rPr>
          <w:rFonts w:ascii="Times New Roman" w:hAnsi="Times New Roman" w:cs="Times New Roman"/>
          <w:color w:val="000000"/>
          <w:sz w:val="24"/>
          <w:szCs w:val="24"/>
        </w:rPr>
        <w:t>4. У детей с компенсированной формой сахарного диабета установлено снижение уровня сахара в крови при регулярных занятиях иппотерапией.</w:t>
      </w:r>
    </w:p>
    <w:p w:rsidR="00197E6C" w:rsidRPr="00513B07" w:rsidRDefault="00197E6C" w:rsidP="0051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07">
        <w:rPr>
          <w:rFonts w:ascii="Times New Roman" w:hAnsi="Times New Roman" w:cs="Times New Roman"/>
          <w:sz w:val="24"/>
          <w:szCs w:val="24"/>
        </w:rPr>
        <w:t xml:space="preserve">5. В исследовании предпринята попытка определять индивидуальную оптимальную продолжительность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иппотерапевтической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нагрузки  как для наездников, имеющих различные отклонения в состоянии здоровья, так и для иппотерапевтических лошадей, по </w:t>
      </w:r>
      <w:r w:rsidRPr="00513B07">
        <w:rPr>
          <w:rFonts w:ascii="Times New Roman" w:hAnsi="Times New Roman" w:cs="Times New Roman"/>
          <w:bCs/>
          <w:sz w:val="24"/>
          <w:szCs w:val="24"/>
        </w:rPr>
        <w:t xml:space="preserve">биоэнергетическим характеристикам </w:t>
      </w:r>
      <w:r w:rsidRPr="00513B07">
        <w:rPr>
          <w:rFonts w:ascii="Times New Roman" w:hAnsi="Times New Roman" w:cs="Times New Roman"/>
          <w:sz w:val="24"/>
          <w:szCs w:val="24"/>
        </w:rPr>
        <w:t xml:space="preserve">U-теста. Установлено, что продолжительность </w:t>
      </w:r>
      <w:proofErr w:type="spellStart"/>
      <w:r w:rsidRPr="00513B07">
        <w:rPr>
          <w:rFonts w:ascii="Times New Roman" w:hAnsi="Times New Roman" w:cs="Times New Roman"/>
          <w:sz w:val="24"/>
          <w:szCs w:val="24"/>
        </w:rPr>
        <w:t>иппотерапевтического</w:t>
      </w:r>
      <w:proofErr w:type="spellEnd"/>
      <w:r w:rsidRPr="00513B07">
        <w:rPr>
          <w:rFonts w:ascii="Times New Roman" w:hAnsi="Times New Roman" w:cs="Times New Roman"/>
          <w:sz w:val="24"/>
          <w:szCs w:val="24"/>
        </w:rPr>
        <w:t xml:space="preserve"> занятия в среднем не должна превышать 20 минут, после чего у детей, имеющих отклонения в состоянии и здоровья, развивается усталость. </w:t>
      </w:r>
    </w:p>
    <w:p w:rsidR="001355C8" w:rsidRPr="00513B07" w:rsidRDefault="001355C8" w:rsidP="00513B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1355C8" w:rsidRPr="00513B07" w:rsidSect="0013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23DF"/>
    <w:multiLevelType w:val="hybridMultilevel"/>
    <w:tmpl w:val="89388B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71BA3"/>
    <w:multiLevelType w:val="hybridMultilevel"/>
    <w:tmpl w:val="16065BB6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">
    <w:nsid w:val="4F5A658E"/>
    <w:multiLevelType w:val="hybridMultilevel"/>
    <w:tmpl w:val="AC1653F6"/>
    <w:lvl w:ilvl="0" w:tplc="9260104C">
      <w:start w:val="1"/>
      <w:numFmt w:val="decimal"/>
      <w:lvlText w:val="%1."/>
      <w:lvlJc w:val="left"/>
      <w:pPr>
        <w:tabs>
          <w:tab w:val="num" w:pos="1455"/>
        </w:tabs>
        <w:ind w:left="1455" w:hanging="1095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C4568A"/>
    <w:multiLevelType w:val="hybridMultilevel"/>
    <w:tmpl w:val="6B1A1F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7628A4"/>
    <w:multiLevelType w:val="hybridMultilevel"/>
    <w:tmpl w:val="DEB2F4D8"/>
    <w:lvl w:ilvl="0" w:tplc="CC8A68F8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Arial" w:hAnsi="Arial" w:cs="Arial" w:hint="default"/>
        <w:b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E6C"/>
    <w:rsid w:val="000A596B"/>
    <w:rsid w:val="000B131B"/>
    <w:rsid w:val="001355C8"/>
    <w:rsid w:val="00197E6C"/>
    <w:rsid w:val="00264F38"/>
    <w:rsid w:val="005046F1"/>
    <w:rsid w:val="00513B07"/>
    <w:rsid w:val="005A5EAE"/>
    <w:rsid w:val="00735A7B"/>
    <w:rsid w:val="007E2815"/>
    <w:rsid w:val="009C54FD"/>
    <w:rsid w:val="00AA6479"/>
    <w:rsid w:val="00B90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6C"/>
  </w:style>
  <w:style w:type="paragraph" w:styleId="1">
    <w:name w:val="heading 1"/>
    <w:basedOn w:val="a"/>
    <w:link w:val="10"/>
    <w:uiPriority w:val="99"/>
    <w:qFormat/>
    <w:rsid w:val="00197E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97E6C"/>
    <w:pPr>
      <w:keepNext/>
      <w:keepLines/>
      <w:spacing w:before="200" w:after="0" w:line="36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7E6C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7E6C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7E6C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97E6C"/>
    <w:rPr>
      <w:rFonts w:ascii="Times New Roman" w:eastAsiaTheme="majorEastAsia" w:hAnsi="Times New Roman" w:cstheme="majorBidi"/>
      <w:b/>
      <w:bCs/>
      <w:i/>
      <w:sz w:val="28"/>
    </w:rPr>
  </w:style>
  <w:style w:type="table" w:styleId="a3">
    <w:name w:val="Table Grid"/>
    <w:basedOn w:val="a1"/>
    <w:uiPriority w:val="59"/>
    <w:rsid w:val="00197E6C"/>
    <w:pPr>
      <w:spacing w:after="0" w:line="240" w:lineRule="auto"/>
    </w:pPr>
    <w:rPr>
      <w:rFonts w:ascii="Times New Roman CYR" w:eastAsia="Times New Roman" w:hAnsi="Times New Roman CYR" w:cs="Times New Roman CYR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7E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97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7E6C"/>
  </w:style>
  <w:style w:type="paragraph" w:styleId="a6">
    <w:name w:val="footer"/>
    <w:basedOn w:val="a"/>
    <w:link w:val="a7"/>
    <w:uiPriority w:val="99"/>
    <w:semiHidden/>
    <w:unhideWhenUsed/>
    <w:rsid w:val="00197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97E6C"/>
  </w:style>
  <w:style w:type="paragraph" w:styleId="a8">
    <w:name w:val="Balloon Text"/>
    <w:basedOn w:val="a"/>
    <w:link w:val="a9"/>
    <w:uiPriority w:val="99"/>
    <w:semiHidden/>
    <w:unhideWhenUsed/>
    <w:rsid w:val="0019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E6C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197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qFormat/>
    <w:rsid w:val="00197E6C"/>
    <w:rPr>
      <w:b/>
      <w:bCs/>
    </w:rPr>
  </w:style>
  <w:style w:type="paragraph" w:styleId="ac">
    <w:name w:val="List Paragraph"/>
    <w:basedOn w:val="a"/>
    <w:uiPriority w:val="34"/>
    <w:qFormat/>
    <w:rsid w:val="00197E6C"/>
    <w:pPr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97E6C"/>
  </w:style>
  <w:style w:type="paragraph" w:styleId="ad">
    <w:name w:val="TOC Heading"/>
    <w:basedOn w:val="1"/>
    <w:next w:val="a"/>
    <w:uiPriority w:val="39"/>
    <w:unhideWhenUsed/>
    <w:qFormat/>
    <w:rsid w:val="00197E6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97E6C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97E6C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197E6C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197E6C"/>
    <w:rPr>
      <w:color w:val="0000FF" w:themeColor="hyperlink"/>
      <w:u w:val="single"/>
    </w:rPr>
  </w:style>
  <w:style w:type="paragraph" w:styleId="af">
    <w:name w:val="No Spacing"/>
    <w:uiPriority w:val="1"/>
    <w:qFormat/>
    <w:rsid w:val="00197E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 в начале занятия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</c:v>
                </c:pt>
                <c:pt idx="1">
                  <c:v>95</c:v>
                </c:pt>
                <c:pt idx="2">
                  <c:v>88</c:v>
                </c:pt>
                <c:pt idx="3">
                  <c:v>88</c:v>
                </c:pt>
                <c:pt idx="4">
                  <c:v>86</c:v>
                </c:pt>
                <c:pt idx="5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конце занятия</c:v>
                </c:pt>
              </c:strCache>
            </c:strRef>
          </c:tx>
          <c:spPr>
            <a:ln w="38100" cmpd="sng"/>
          </c:spPr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120</c:v>
                </c:pt>
                <c:pt idx="1">
                  <c:v>135</c:v>
                </c:pt>
                <c:pt idx="2">
                  <c:v>130</c:v>
                </c:pt>
                <c:pt idx="3">
                  <c:v>129</c:v>
                </c:pt>
                <c:pt idx="4">
                  <c:v>110</c:v>
                </c:pt>
                <c:pt idx="5">
                  <c:v>120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marker val="1"/>
        <c:axId val="59910400"/>
        <c:axId val="60175104"/>
      </c:lineChart>
      <c:catAx>
        <c:axId val="599104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 занятия</a:t>
                </a:r>
              </a:p>
            </c:rich>
          </c:tx>
        </c:title>
        <c:numFmt formatCode="General" sourceLinked="1"/>
        <c:tickLblPos val="nextTo"/>
        <c:crossAx val="60175104"/>
        <c:crosses val="autoZero"/>
        <c:auto val="1"/>
        <c:lblAlgn val="ctr"/>
        <c:lblOffset val="100"/>
      </c:catAx>
      <c:valAx>
        <c:axId val="6017510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 ЧСС (</a:t>
                </a:r>
              </a:p>
              <a:p>
                <a:pPr>
                  <a:defRPr/>
                </a:pPr>
                <a:r>
                  <a:rPr lang="ru-RU"/>
                  <a:t> уд/мин</a:t>
                </a:r>
              </a:p>
            </c:rich>
          </c:tx>
        </c:title>
        <c:numFmt formatCode="General" sourceLinked="1"/>
        <c:tickLblPos val="nextTo"/>
        <c:crossAx val="59910400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5836796442111398"/>
          <c:y val="0.41700693663292088"/>
          <c:w val="0.24163203557888596"/>
          <c:h val="0.14338472181292394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3373162696137713E-2"/>
          <c:y val="2.1140421188118909E-2"/>
          <c:w val="0.88692579505300695"/>
          <c:h val="0.6406982386964390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До занятия</c:v>
                </c:pt>
              </c:strCache>
            </c:strRef>
          </c:tx>
          <c:spPr>
            <a:ln w="18159">
              <a:solidFill>
                <a:srgbClr val="000000"/>
              </a:solidFill>
              <a:prstDash val="lgDash"/>
            </a:ln>
          </c:spPr>
          <c:marker>
            <c:symbol val="square"/>
            <c:size val="7"/>
            <c:spPr>
              <a:noFill/>
              <a:ln w="6810">
                <a:noFill/>
              </a:ln>
            </c:spPr>
          </c:marker>
          <c:cat>
            <c:numRef>
              <c:f>Sheet1!$B$1:$K$1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12</c:v>
                </c:pt>
                <c:pt idx="1">
                  <c:v>14</c:v>
                </c:pt>
                <c:pt idx="2">
                  <c:v>11.2</c:v>
                </c:pt>
                <c:pt idx="3">
                  <c:v>8</c:v>
                </c:pt>
                <c:pt idx="4">
                  <c:v>9.3000000000000007</c:v>
                </c:pt>
                <c:pt idx="5">
                  <c:v>11.9</c:v>
                </c:pt>
                <c:pt idx="6">
                  <c:v>8.6</c:v>
                </c:pt>
                <c:pt idx="7">
                  <c:v>10.7</c:v>
                </c:pt>
                <c:pt idx="8">
                  <c:v>9.7000000000000011</c:v>
                </c:pt>
                <c:pt idx="9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После занятия</c:v>
                </c:pt>
              </c:strCache>
            </c:strRef>
          </c:tx>
          <c:spPr>
            <a:ln w="18159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14</c:v>
                </c:pt>
                <c:pt idx="1">
                  <c:v>13.8</c:v>
                </c:pt>
                <c:pt idx="2">
                  <c:v>9.9</c:v>
                </c:pt>
                <c:pt idx="3">
                  <c:v>6.4</c:v>
                </c:pt>
                <c:pt idx="4">
                  <c:v>6.8</c:v>
                </c:pt>
                <c:pt idx="5">
                  <c:v>5.23</c:v>
                </c:pt>
                <c:pt idx="6">
                  <c:v>6.2</c:v>
                </c:pt>
                <c:pt idx="7">
                  <c:v>4.9000000000000004</c:v>
                </c:pt>
                <c:pt idx="8">
                  <c:v>5.4</c:v>
                </c:pt>
                <c:pt idx="9">
                  <c:v>6.1</c:v>
                </c:pt>
              </c:numCache>
            </c:numRef>
          </c:val>
        </c:ser>
        <c:marker val="1"/>
        <c:axId val="61009920"/>
        <c:axId val="61011840"/>
      </c:lineChart>
      <c:catAx>
        <c:axId val="610099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5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№ занятия</a:t>
                </a:r>
              </a:p>
            </c:rich>
          </c:tx>
          <c:layout>
            <c:manualLayout>
              <c:xMode val="edge"/>
              <c:yMode val="edge"/>
              <c:x val="0.48409889945040824"/>
              <c:y val="0.78229331412201053"/>
            </c:manualLayout>
          </c:layout>
          <c:spPr>
            <a:noFill/>
            <a:ln w="18159">
              <a:noFill/>
            </a:ln>
          </c:spPr>
        </c:title>
        <c:numFmt formatCode="General" sourceLinked="1"/>
        <c:tickLblPos val="nextTo"/>
        <c:spPr>
          <a:ln w="22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1011840"/>
        <c:crosses val="autoZero"/>
        <c:auto val="1"/>
        <c:lblAlgn val="ctr"/>
        <c:lblOffset val="100"/>
        <c:tickLblSkip val="1"/>
        <c:tickMarkSkip val="1"/>
      </c:catAx>
      <c:valAx>
        <c:axId val="61011840"/>
        <c:scaling>
          <c:orientation val="minMax"/>
        </c:scaling>
        <c:axPos val="l"/>
        <c:majorGridlines>
          <c:spPr>
            <a:ln w="22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ммоль/л</a:t>
                </a:r>
              </a:p>
            </c:rich>
          </c:tx>
          <c:layout>
            <c:manualLayout>
              <c:xMode val="edge"/>
              <c:yMode val="edge"/>
              <c:x val="1.943460013488494E-2"/>
              <c:y val="0.22815533980582842"/>
            </c:manualLayout>
          </c:layout>
          <c:spPr>
            <a:noFill/>
            <a:ln w="18159">
              <a:noFill/>
            </a:ln>
          </c:spPr>
        </c:title>
        <c:numFmt formatCode="General" sourceLinked="1"/>
        <c:tickLblPos val="nextTo"/>
        <c:spPr>
          <a:ln w="22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1009920"/>
        <c:crosses val="autoZero"/>
        <c:crossBetween val="between"/>
      </c:valAx>
      <c:spPr>
        <a:noFill/>
        <a:ln w="18159">
          <a:noFill/>
        </a:ln>
      </c:spPr>
    </c:plotArea>
    <c:legend>
      <c:legendPos val="r"/>
      <c:layout>
        <c:manualLayout>
          <c:xMode val="edge"/>
          <c:yMode val="edge"/>
          <c:x val="0.32454693814465996"/>
          <c:y val="0.85655558244640462"/>
          <c:w val="0.42668863261945444"/>
          <c:h val="0.14323610114969507"/>
        </c:manualLayout>
      </c:layout>
      <c:spPr>
        <a:solidFill>
          <a:srgbClr val="FFFFFF"/>
        </a:solidFill>
        <a:ln w="18159">
          <a:noFill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7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3373162696137713E-2"/>
          <c:y val="2.1140421188118909E-2"/>
          <c:w val="0.88692579505300684"/>
          <c:h val="0.6406982386964390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До занятия</c:v>
                </c:pt>
              </c:strCache>
            </c:strRef>
          </c:tx>
          <c:spPr>
            <a:ln w="18159">
              <a:solidFill>
                <a:srgbClr val="000000"/>
              </a:solidFill>
              <a:prstDash val="lgDash"/>
            </a:ln>
          </c:spPr>
          <c:marker>
            <c:symbol val="square"/>
            <c:size val="7"/>
            <c:spPr>
              <a:noFill/>
              <a:ln w="6810">
                <a:noFill/>
              </a:ln>
            </c:spPr>
          </c:marker>
          <c:cat>
            <c:numRef>
              <c:f>Sheet1!$B$1:$K$1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13.6</c:v>
                </c:pt>
                <c:pt idx="1">
                  <c:v>14</c:v>
                </c:pt>
                <c:pt idx="2">
                  <c:v>14.2</c:v>
                </c:pt>
                <c:pt idx="3">
                  <c:v>10</c:v>
                </c:pt>
                <c:pt idx="4">
                  <c:v>12.5</c:v>
                </c:pt>
                <c:pt idx="5">
                  <c:v>12.7</c:v>
                </c:pt>
                <c:pt idx="6">
                  <c:v>12</c:v>
                </c:pt>
                <c:pt idx="7">
                  <c:v>4.9000000000000004</c:v>
                </c:pt>
                <c:pt idx="8">
                  <c:v>5</c:v>
                </c:pt>
                <c:pt idx="9">
                  <c:v>5.3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После занятия</c:v>
                </c:pt>
              </c:strCache>
            </c:strRef>
          </c:tx>
          <c:spPr>
            <a:ln w="18159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14.4</c:v>
                </c:pt>
                <c:pt idx="1">
                  <c:v>14</c:v>
                </c:pt>
                <c:pt idx="2">
                  <c:v>15.5</c:v>
                </c:pt>
                <c:pt idx="3">
                  <c:v>5</c:v>
                </c:pt>
                <c:pt idx="4">
                  <c:v>6</c:v>
                </c:pt>
                <c:pt idx="5">
                  <c:v>10</c:v>
                </c:pt>
                <c:pt idx="6">
                  <c:v>5.7</c:v>
                </c:pt>
                <c:pt idx="7">
                  <c:v>4.7</c:v>
                </c:pt>
                <c:pt idx="8">
                  <c:v>4</c:v>
                </c:pt>
                <c:pt idx="9">
                  <c:v>6.1</c:v>
                </c:pt>
              </c:numCache>
            </c:numRef>
          </c:val>
        </c:ser>
        <c:marker val="1"/>
        <c:axId val="61090048"/>
        <c:axId val="61096320"/>
      </c:lineChart>
      <c:catAx>
        <c:axId val="610900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5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№ занятия</a:t>
                </a:r>
              </a:p>
            </c:rich>
          </c:tx>
          <c:layout>
            <c:manualLayout>
              <c:xMode val="edge"/>
              <c:yMode val="edge"/>
              <c:x val="0.48409889945040824"/>
              <c:y val="0.78229331412201053"/>
            </c:manualLayout>
          </c:layout>
          <c:spPr>
            <a:noFill/>
            <a:ln w="18159">
              <a:noFill/>
            </a:ln>
          </c:spPr>
        </c:title>
        <c:numFmt formatCode="General" sourceLinked="1"/>
        <c:tickLblPos val="nextTo"/>
        <c:spPr>
          <a:ln w="22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1096320"/>
        <c:crosses val="autoZero"/>
        <c:auto val="1"/>
        <c:lblAlgn val="ctr"/>
        <c:lblOffset val="100"/>
        <c:tickLblSkip val="1"/>
        <c:tickMarkSkip val="1"/>
      </c:catAx>
      <c:valAx>
        <c:axId val="61096320"/>
        <c:scaling>
          <c:orientation val="minMax"/>
        </c:scaling>
        <c:axPos val="l"/>
        <c:majorGridlines>
          <c:spPr>
            <a:ln w="22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ммоль/л</a:t>
                </a:r>
              </a:p>
            </c:rich>
          </c:tx>
          <c:layout>
            <c:manualLayout>
              <c:xMode val="edge"/>
              <c:yMode val="edge"/>
              <c:x val="1.943460013488494E-2"/>
              <c:y val="0.22815533980582794"/>
            </c:manualLayout>
          </c:layout>
          <c:spPr>
            <a:noFill/>
            <a:ln w="18159">
              <a:noFill/>
            </a:ln>
          </c:spPr>
        </c:title>
        <c:numFmt formatCode="General" sourceLinked="1"/>
        <c:tickLblPos val="nextTo"/>
        <c:spPr>
          <a:ln w="22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1090048"/>
        <c:crosses val="autoZero"/>
        <c:crossBetween val="between"/>
      </c:valAx>
      <c:spPr>
        <a:noFill/>
        <a:ln w="18159">
          <a:noFill/>
        </a:ln>
      </c:spPr>
    </c:plotArea>
    <c:legend>
      <c:legendPos val="r"/>
      <c:layout>
        <c:manualLayout>
          <c:xMode val="edge"/>
          <c:yMode val="edge"/>
          <c:x val="0.32454693814465996"/>
          <c:y val="0.85655558244640462"/>
          <c:w val="0.42668863261945444"/>
          <c:h val="0.14323610114969507"/>
        </c:manualLayout>
      </c:layout>
      <c:spPr>
        <a:solidFill>
          <a:srgbClr val="FFFFFF"/>
        </a:solidFill>
        <a:ln w="18159">
          <a:noFill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7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strRef>
              <c:f>Лист1!$A$2:$A$11</c:f>
              <c:strCache>
                <c:ptCount val="10"/>
                <c:pt idx="0">
                  <c:v>1 занимающийся</c:v>
                </c:pt>
                <c:pt idx="1">
                  <c:v>2 занимающийся</c:v>
                </c:pt>
                <c:pt idx="2">
                  <c:v>3 занимающийся</c:v>
                </c:pt>
                <c:pt idx="3">
                  <c:v>4 занимающийся</c:v>
                </c:pt>
                <c:pt idx="4">
                  <c:v>5 занимающийся</c:v>
                </c:pt>
                <c:pt idx="5">
                  <c:v>6 занимающийся</c:v>
                </c:pt>
                <c:pt idx="6">
                  <c:v>7 занимающийся</c:v>
                </c:pt>
                <c:pt idx="7">
                  <c:v>8 занимающийся</c:v>
                </c:pt>
                <c:pt idx="8">
                  <c:v>9 занимающийся</c:v>
                </c:pt>
                <c:pt idx="9">
                  <c:v>10 занимающийся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3.2</c:v>
                </c:pt>
                <c:pt idx="3">
                  <c:v>3.4</c:v>
                </c:pt>
                <c:pt idx="4">
                  <c:v>3</c:v>
                </c:pt>
                <c:pt idx="5">
                  <c:v>3.8</c:v>
                </c:pt>
                <c:pt idx="6">
                  <c:v>2.9</c:v>
                </c:pt>
                <c:pt idx="7">
                  <c:v>3.1</c:v>
                </c:pt>
                <c:pt idx="8">
                  <c:v>3</c:v>
                </c:pt>
                <c:pt idx="9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</c:spPr>
          <c:cat>
            <c:strRef>
              <c:f>Лист1!$A$2:$A$11</c:f>
              <c:strCache>
                <c:ptCount val="10"/>
                <c:pt idx="0">
                  <c:v>1 занимающийся</c:v>
                </c:pt>
                <c:pt idx="1">
                  <c:v>2 занимающийся</c:v>
                </c:pt>
                <c:pt idx="2">
                  <c:v>3 занимающийся</c:v>
                </c:pt>
                <c:pt idx="3">
                  <c:v>4 занимающийся</c:v>
                </c:pt>
                <c:pt idx="4">
                  <c:v>5 занимающийся</c:v>
                </c:pt>
                <c:pt idx="5">
                  <c:v>6 занимающийся</c:v>
                </c:pt>
                <c:pt idx="6">
                  <c:v>7 занимающийся</c:v>
                </c:pt>
                <c:pt idx="7">
                  <c:v>8 занимающийся</c:v>
                </c:pt>
                <c:pt idx="8">
                  <c:v>9 занимающийся</c:v>
                </c:pt>
                <c:pt idx="9">
                  <c:v>10 занимающийся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5.0999999999999996</c:v>
                </c:pt>
                <c:pt idx="1">
                  <c:v>5.3</c:v>
                </c:pt>
                <c:pt idx="2">
                  <c:v>5.5</c:v>
                </c:pt>
                <c:pt idx="3">
                  <c:v>5.9</c:v>
                </c:pt>
                <c:pt idx="4">
                  <c:v>5.3</c:v>
                </c:pt>
                <c:pt idx="5">
                  <c:v>4.9000000000000004</c:v>
                </c:pt>
                <c:pt idx="6">
                  <c:v>5.5</c:v>
                </c:pt>
                <c:pt idx="7">
                  <c:v>6</c:v>
                </c:pt>
                <c:pt idx="8">
                  <c:v>5.5</c:v>
                </c:pt>
                <c:pt idx="9">
                  <c:v>5.4</c:v>
                </c:pt>
              </c:numCache>
            </c:numRef>
          </c:val>
        </c:ser>
        <c:axId val="61107584"/>
        <c:axId val="61240448"/>
      </c:barChart>
      <c:catAx>
        <c:axId val="61107584"/>
        <c:scaling>
          <c:orientation val="minMax"/>
        </c:scaling>
        <c:axPos val="b"/>
        <c:numFmt formatCode="General" sourceLinked="1"/>
        <c:tickLblPos val="nextTo"/>
        <c:crossAx val="61240448"/>
        <c:crosses val="autoZero"/>
        <c:auto val="1"/>
        <c:lblAlgn val="ctr"/>
        <c:lblOffset val="100"/>
      </c:catAx>
      <c:valAx>
        <c:axId val="61240448"/>
        <c:scaling>
          <c:orientation val="minMax"/>
        </c:scaling>
        <c:axPos val="l"/>
        <c:majorGridlines/>
        <c:numFmt formatCode="General" sourceLinked="1"/>
        <c:tickLblPos val="nextTo"/>
        <c:crossAx val="6110758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4055</Words>
  <Characters>23117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27118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СпортФак</dc:creator>
  <cp:keywords/>
  <dc:description/>
  <cp:lastModifiedBy>Ира</cp:lastModifiedBy>
  <cp:revision>4</cp:revision>
  <dcterms:created xsi:type="dcterms:W3CDTF">2016-04-01T06:55:00Z</dcterms:created>
  <dcterms:modified xsi:type="dcterms:W3CDTF">2016-04-06T05:20:00Z</dcterms:modified>
</cp:coreProperties>
</file>